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9A" w:rsidRDefault="00A10C9A" w:rsidP="00A10C9A">
      <w:pPr>
        <w:jc w:val="center"/>
        <w:rPr>
          <w:rFonts w:ascii="Arial" w:hAnsi="Arial" w:cs="Arial"/>
          <w:b/>
          <w:sz w:val="30"/>
          <w:szCs w:val="30"/>
        </w:rPr>
      </w:pPr>
      <w:r>
        <w:rPr>
          <w:rFonts w:ascii="Arial" w:hAnsi="Arial" w:cs="Arial"/>
          <w:b/>
          <w:sz w:val="30"/>
          <w:szCs w:val="30"/>
        </w:rPr>
        <w:t>Elternbürgschaft / Mietbürgschaft</w:t>
      </w:r>
    </w:p>
    <w:p w:rsidR="00A10C9A" w:rsidRDefault="00A10C9A" w:rsidP="00A10C9A">
      <w:pPr>
        <w:jc w:val="center"/>
        <w:rPr>
          <w:rFonts w:ascii="Arial" w:hAnsi="Arial" w:cs="Arial"/>
          <w:sz w:val="24"/>
          <w:szCs w:val="24"/>
        </w:rPr>
      </w:pPr>
    </w:p>
    <w:tbl>
      <w:tblPr>
        <w:tblStyle w:val="EinfacheTabelle2"/>
        <w:tblW w:w="0" w:type="auto"/>
        <w:tblInd w:w="0" w:type="dxa"/>
        <w:tblLook w:val="04A0" w:firstRow="1" w:lastRow="0" w:firstColumn="1" w:lastColumn="0" w:noHBand="0" w:noVBand="1"/>
      </w:tblPr>
      <w:tblGrid>
        <w:gridCol w:w="2835"/>
        <w:gridCol w:w="793"/>
        <w:gridCol w:w="1814"/>
        <w:gridCol w:w="1815"/>
        <w:gridCol w:w="1815"/>
      </w:tblGrid>
      <w:tr w:rsidR="00A10C9A" w:rsidTr="00A10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tcPr>
          <w:p w:rsidR="00A10C9A" w:rsidRDefault="00A10C9A">
            <w:pPr>
              <w:tabs>
                <w:tab w:val="right" w:pos="9638"/>
              </w:tabs>
              <w:spacing w:after="0" w:line="240" w:lineRule="auto"/>
              <w:rPr>
                <w:rFonts w:ascii="Arial" w:hAnsi="Arial" w:cs="Arial"/>
                <w:sz w:val="24"/>
                <w:szCs w:val="24"/>
              </w:rPr>
            </w:pPr>
          </w:p>
        </w:tc>
        <w:tc>
          <w:tcPr>
            <w:tcW w:w="793" w:type="dxa"/>
            <w:tcBorders>
              <w:top w:val="nil"/>
              <w:left w:val="nil"/>
              <w:bottom w:val="nil"/>
              <w:right w:val="nil"/>
            </w:tcBorders>
          </w:tcPr>
          <w:p w:rsidR="00A10C9A" w:rsidRDefault="00A10C9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Borders>
              <w:top w:val="nil"/>
              <w:left w:val="nil"/>
              <w:bottom w:val="nil"/>
              <w:right w:val="nil"/>
            </w:tcBorders>
          </w:tcPr>
          <w:p w:rsidR="00A10C9A" w:rsidRDefault="00A10C9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Borders>
              <w:top w:val="nil"/>
              <w:left w:val="nil"/>
              <w:bottom w:val="single" w:sz="4" w:space="0" w:color="auto"/>
              <w:right w:val="nil"/>
            </w:tcBorders>
            <w:hideMark/>
          </w:tcPr>
          <w:p w:rsidR="00A10C9A" w:rsidRDefault="00A10C9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Datum:</w:t>
            </w:r>
          </w:p>
        </w:tc>
        <w:tc>
          <w:tcPr>
            <w:tcW w:w="1815" w:type="dxa"/>
            <w:tcBorders>
              <w:top w:val="nil"/>
              <w:left w:val="nil"/>
              <w:bottom w:val="single" w:sz="4" w:space="0" w:color="auto"/>
              <w:right w:val="nil"/>
            </w:tcBorders>
          </w:tcPr>
          <w:p w:rsidR="00A10C9A" w:rsidRDefault="00A10C9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bl>
    <w:p w:rsidR="00A10C9A" w:rsidRDefault="00A10C9A" w:rsidP="00A10C9A">
      <w:pPr>
        <w:tabs>
          <w:tab w:val="right" w:pos="9638"/>
        </w:tabs>
        <w:spacing w:after="0" w:line="240" w:lineRule="auto"/>
        <w:rPr>
          <w:rFonts w:ascii="Arial" w:hAnsi="Arial" w:cs="Arial"/>
          <w:b/>
          <w:sz w:val="24"/>
          <w:szCs w:val="24"/>
        </w:rPr>
      </w:pPr>
      <w:r>
        <w:rPr>
          <w:rFonts w:ascii="Arial" w:hAnsi="Arial" w:cs="Arial"/>
          <w:b/>
          <w:sz w:val="24"/>
          <w:szCs w:val="24"/>
        </w:rPr>
        <w:t xml:space="preserve"> Anschrift der Wohnung</w:t>
      </w:r>
    </w:p>
    <w:tbl>
      <w:tblPr>
        <w:tblStyle w:val="EinfacheTabelle2"/>
        <w:tblW w:w="0" w:type="auto"/>
        <w:tblInd w:w="0" w:type="dxa"/>
        <w:tblLook w:val="04A0" w:firstRow="1" w:lastRow="0" w:firstColumn="1" w:lastColumn="0" w:noHBand="0" w:noVBand="1"/>
      </w:tblPr>
      <w:tblGrid>
        <w:gridCol w:w="2710"/>
        <w:gridCol w:w="729"/>
        <w:gridCol w:w="729"/>
        <w:gridCol w:w="1634"/>
        <w:gridCol w:w="1635"/>
        <w:gridCol w:w="1635"/>
      </w:tblGrid>
      <w:tr w:rsidR="00A10C9A" w:rsidTr="00A10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Borders>
              <w:top w:val="single" w:sz="4" w:space="0" w:color="7F7F7F" w:themeColor="text1" w:themeTint="80"/>
              <w:left w:val="nil"/>
              <w:right w:val="nil"/>
            </w:tcBorders>
            <w:hideMark/>
          </w:tcPr>
          <w:p w:rsidR="00A10C9A" w:rsidRDefault="00A10C9A">
            <w:pPr>
              <w:tabs>
                <w:tab w:val="right" w:pos="9638"/>
              </w:tabs>
              <w:spacing w:after="0" w:line="240" w:lineRule="auto"/>
              <w:rPr>
                <w:rFonts w:ascii="Arial" w:hAnsi="Arial" w:cs="Arial"/>
                <w:b w:val="0"/>
                <w:sz w:val="24"/>
                <w:szCs w:val="24"/>
              </w:rPr>
            </w:pPr>
            <w:r>
              <w:rPr>
                <w:rFonts w:ascii="Arial" w:hAnsi="Arial" w:cs="Arial"/>
                <w:b w:val="0"/>
                <w:sz w:val="24"/>
                <w:szCs w:val="24"/>
              </w:rPr>
              <w:t>Straße, Hausnummer:</w:t>
            </w:r>
          </w:p>
        </w:tc>
        <w:tc>
          <w:tcPr>
            <w:tcW w:w="729" w:type="dxa"/>
            <w:tcBorders>
              <w:top w:val="single" w:sz="4" w:space="0" w:color="7F7F7F" w:themeColor="text1" w:themeTint="80"/>
              <w:left w:val="nil"/>
              <w:right w:val="nil"/>
            </w:tcBorders>
          </w:tcPr>
          <w:p w:rsidR="00A10C9A" w:rsidRDefault="00A10C9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Borders>
              <w:top w:val="single" w:sz="4" w:space="0" w:color="7F7F7F" w:themeColor="text1" w:themeTint="80"/>
              <w:left w:val="nil"/>
              <w:right w:val="nil"/>
            </w:tcBorders>
          </w:tcPr>
          <w:p w:rsidR="00A10C9A" w:rsidRDefault="00A10C9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Borders>
              <w:top w:val="single" w:sz="4" w:space="0" w:color="7F7F7F" w:themeColor="text1" w:themeTint="80"/>
              <w:left w:val="nil"/>
              <w:right w:val="nil"/>
            </w:tcBorders>
          </w:tcPr>
          <w:p w:rsidR="00A10C9A" w:rsidRDefault="00A10C9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Borders>
              <w:top w:val="single" w:sz="4" w:space="0" w:color="7F7F7F" w:themeColor="text1" w:themeTint="80"/>
              <w:left w:val="nil"/>
              <w:right w:val="nil"/>
            </w:tcBorders>
          </w:tcPr>
          <w:p w:rsidR="00A10C9A" w:rsidRDefault="00A10C9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Borders>
              <w:top w:val="single" w:sz="4" w:space="0" w:color="7F7F7F" w:themeColor="text1" w:themeTint="80"/>
              <w:left w:val="nil"/>
              <w:right w:val="nil"/>
            </w:tcBorders>
          </w:tcPr>
          <w:p w:rsidR="00A10C9A" w:rsidRDefault="00A10C9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A10C9A" w:rsidTr="00A10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Borders>
              <w:left w:val="nil"/>
              <w:right w:val="nil"/>
            </w:tcBorders>
            <w:hideMark/>
          </w:tcPr>
          <w:p w:rsidR="00A10C9A" w:rsidRDefault="00A10C9A">
            <w:pPr>
              <w:tabs>
                <w:tab w:val="right" w:pos="9638"/>
              </w:tabs>
              <w:spacing w:after="0" w:line="240" w:lineRule="auto"/>
              <w:rPr>
                <w:rFonts w:ascii="Arial" w:hAnsi="Arial" w:cs="Arial"/>
                <w:b w:val="0"/>
                <w:sz w:val="24"/>
                <w:szCs w:val="24"/>
              </w:rPr>
            </w:pPr>
            <w:r>
              <w:rPr>
                <w:rFonts w:ascii="Arial" w:hAnsi="Arial" w:cs="Arial"/>
                <w:b w:val="0"/>
                <w:sz w:val="24"/>
                <w:szCs w:val="24"/>
              </w:rPr>
              <w:t>PLZ, Ort</w:t>
            </w:r>
          </w:p>
        </w:tc>
        <w:tc>
          <w:tcPr>
            <w:tcW w:w="729" w:type="dxa"/>
            <w:tcBorders>
              <w:left w:val="nil"/>
              <w:right w:val="nil"/>
            </w:tcBorders>
          </w:tcPr>
          <w:p w:rsidR="00A10C9A" w:rsidRDefault="00A10C9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9" w:type="dxa"/>
            <w:tcBorders>
              <w:left w:val="nil"/>
              <w:right w:val="nil"/>
            </w:tcBorders>
          </w:tcPr>
          <w:p w:rsidR="00A10C9A" w:rsidRDefault="00A10C9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4" w:type="dxa"/>
            <w:tcBorders>
              <w:left w:val="nil"/>
              <w:right w:val="nil"/>
            </w:tcBorders>
          </w:tcPr>
          <w:p w:rsidR="00A10C9A" w:rsidRDefault="00A10C9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Borders>
              <w:left w:val="nil"/>
              <w:right w:val="nil"/>
            </w:tcBorders>
          </w:tcPr>
          <w:p w:rsidR="00A10C9A" w:rsidRDefault="00A10C9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Borders>
              <w:left w:val="nil"/>
              <w:right w:val="nil"/>
            </w:tcBorders>
          </w:tcPr>
          <w:p w:rsidR="00A10C9A" w:rsidRDefault="00A10C9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A10C9A" w:rsidRDefault="00A10C9A" w:rsidP="00A10C9A">
      <w:pPr>
        <w:spacing w:after="0" w:line="240" w:lineRule="auto"/>
        <w:rPr>
          <w:rFonts w:ascii="Arial" w:hAnsi="Arial" w:cs="Arial"/>
          <w:sz w:val="24"/>
          <w:szCs w:val="24"/>
        </w:rPr>
      </w:pPr>
    </w:p>
    <w:p w:rsidR="00A10C9A" w:rsidRDefault="00A10C9A" w:rsidP="00A10C9A">
      <w:pPr>
        <w:spacing w:after="0" w:line="240" w:lineRule="auto"/>
        <w:rPr>
          <w:rFonts w:ascii="Arial" w:hAnsi="Arial" w:cs="Arial"/>
          <w:b/>
          <w:sz w:val="24"/>
          <w:szCs w:val="24"/>
        </w:rPr>
      </w:pPr>
      <w:r>
        <w:rPr>
          <w:rFonts w:ascii="Arial" w:hAnsi="Arial" w:cs="Arial"/>
          <w:b/>
          <w:sz w:val="24"/>
          <w:szCs w:val="24"/>
        </w:rPr>
        <w:t>Erklärung zu einer Bürgschaft</w:t>
      </w:r>
    </w:p>
    <w:p w:rsidR="00A10C9A" w:rsidRDefault="00A10C9A" w:rsidP="00A10C9A">
      <w:pPr>
        <w:spacing w:after="0" w:line="240" w:lineRule="auto"/>
        <w:rPr>
          <w:rFonts w:ascii="Arial" w:hAnsi="Arial" w:cs="Arial"/>
          <w:sz w:val="24"/>
          <w:szCs w:val="24"/>
        </w:rPr>
      </w:pPr>
    </w:p>
    <w:p w:rsidR="00A10C9A" w:rsidRDefault="00A10C9A" w:rsidP="00A10C9A">
      <w:pPr>
        <w:spacing w:after="0" w:line="240" w:lineRule="auto"/>
        <w:rPr>
          <w:rFonts w:ascii="Arial" w:hAnsi="Arial" w:cs="Arial"/>
          <w:sz w:val="24"/>
          <w:szCs w:val="24"/>
        </w:rPr>
      </w:pPr>
      <w:r>
        <w:rPr>
          <w:rFonts w:ascii="Arial" w:hAnsi="Arial" w:cs="Arial"/>
          <w:sz w:val="24"/>
          <w:szCs w:val="24"/>
        </w:rPr>
        <w:t>für den geschlossenen Mietvertrag vom _________________________</w:t>
      </w:r>
    </w:p>
    <w:p w:rsidR="00A10C9A" w:rsidRDefault="00A10C9A" w:rsidP="00A10C9A">
      <w:pPr>
        <w:spacing w:after="0" w:line="240" w:lineRule="auto"/>
        <w:ind w:left="3540" w:firstLine="708"/>
        <w:rPr>
          <w:rFonts w:ascii="Arial" w:hAnsi="Arial" w:cs="Arial"/>
          <w:sz w:val="16"/>
          <w:szCs w:val="24"/>
        </w:rPr>
      </w:pPr>
      <w:r>
        <w:rPr>
          <w:rFonts w:ascii="Arial" w:hAnsi="Arial" w:cs="Arial"/>
          <w:sz w:val="16"/>
          <w:szCs w:val="24"/>
        </w:rPr>
        <w:t>[Datum des Mietvertrags]</w:t>
      </w:r>
    </w:p>
    <w:p w:rsidR="00A10C9A" w:rsidRDefault="00A10C9A" w:rsidP="00A10C9A">
      <w:pPr>
        <w:spacing w:after="0" w:line="240" w:lineRule="auto"/>
        <w:rPr>
          <w:rFonts w:ascii="Arial" w:hAnsi="Arial" w:cs="Arial"/>
          <w:sz w:val="24"/>
          <w:szCs w:val="24"/>
        </w:rPr>
      </w:pPr>
    </w:p>
    <w:p w:rsidR="00A10C9A" w:rsidRDefault="00A10C9A" w:rsidP="00A10C9A">
      <w:pPr>
        <w:spacing w:after="0" w:line="240" w:lineRule="auto"/>
        <w:rPr>
          <w:rFonts w:ascii="Arial" w:hAnsi="Arial" w:cs="Arial"/>
          <w:sz w:val="24"/>
          <w:szCs w:val="24"/>
        </w:rPr>
      </w:pPr>
      <w:r>
        <w:rPr>
          <w:rFonts w:ascii="Arial" w:hAnsi="Arial" w:cs="Arial"/>
          <w:sz w:val="24"/>
          <w:szCs w:val="24"/>
        </w:rPr>
        <w:t>für die Wohnung: ___________________________________________</w:t>
      </w:r>
    </w:p>
    <w:p w:rsidR="00A10C9A" w:rsidRDefault="00A10C9A" w:rsidP="00A10C9A">
      <w:pPr>
        <w:spacing w:after="0" w:line="240" w:lineRule="auto"/>
        <w:ind w:left="708"/>
        <w:rPr>
          <w:rFonts w:ascii="Arial" w:hAnsi="Arial" w:cs="Arial"/>
          <w:sz w:val="16"/>
          <w:szCs w:val="16"/>
        </w:rPr>
      </w:pPr>
      <w:r>
        <w:rPr>
          <w:rFonts w:ascii="Arial" w:hAnsi="Arial" w:cs="Arial"/>
          <w:sz w:val="16"/>
          <w:szCs w:val="16"/>
        </w:rPr>
        <w:t xml:space="preserve">                          [Straße, PLZ, Ort]</w:t>
      </w:r>
    </w:p>
    <w:p w:rsidR="00A10C9A" w:rsidRDefault="00A10C9A" w:rsidP="00A10C9A">
      <w:pPr>
        <w:spacing w:after="0" w:line="240" w:lineRule="auto"/>
        <w:rPr>
          <w:rFonts w:ascii="Arial" w:hAnsi="Arial" w:cs="Arial"/>
          <w:sz w:val="24"/>
          <w:szCs w:val="24"/>
        </w:rPr>
      </w:pPr>
    </w:p>
    <w:p w:rsidR="00A10C9A" w:rsidRDefault="00A10C9A" w:rsidP="00A10C9A">
      <w:pPr>
        <w:spacing w:after="0" w:line="240" w:lineRule="auto"/>
        <w:rPr>
          <w:rFonts w:ascii="Arial" w:hAnsi="Arial" w:cs="Arial"/>
          <w:sz w:val="24"/>
          <w:szCs w:val="24"/>
        </w:rPr>
      </w:pPr>
      <w:r>
        <w:rPr>
          <w:rFonts w:ascii="Arial" w:hAnsi="Arial" w:cs="Arial"/>
          <w:sz w:val="24"/>
          <w:szCs w:val="24"/>
        </w:rPr>
        <w:t>für den Mieter: _____________________________________________</w:t>
      </w:r>
    </w:p>
    <w:p w:rsidR="00A10C9A" w:rsidRDefault="00A10C9A" w:rsidP="00A10C9A">
      <w:pPr>
        <w:spacing w:after="0" w:line="240" w:lineRule="auto"/>
        <w:rPr>
          <w:rFonts w:ascii="Arial" w:hAnsi="Arial" w:cs="Arial"/>
          <w:sz w:val="16"/>
          <w:szCs w:val="16"/>
        </w:rPr>
      </w:pPr>
      <w:r>
        <w:rPr>
          <w:rFonts w:ascii="Arial" w:hAnsi="Arial" w:cs="Arial"/>
          <w:sz w:val="16"/>
          <w:szCs w:val="16"/>
        </w:rPr>
        <w:t xml:space="preserve">                                    [Name des Mieters, Geburtsdaten, Personalausweis-Nr.]</w:t>
      </w:r>
    </w:p>
    <w:p w:rsidR="00A10C9A" w:rsidRDefault="00A10C9A" w:rsidP="00A10C9A">
      <w:pPr>
        <w:spacing w:after="0" w:line="240" w:lineRule="auto"/>
        <w:rPr>
          <w:rFonts w:ascii="Arial" w:hAnsi="Arial" w:cs="Arial"/>
          <w:sz w:val="24"/>
          <w:szCs w:val="24"/>
        </w:rPr>
      </w:pPr>
    </w:p>
    <w:p w:rsidR="00A10C9A" w:rsidRDefault="00A10C9A" w:rsidP="00A10C9A">
      <w:pPr>
        <w:spacing w:after="0" w:line="240" w:lineRule="auto"/>
        <w:rPr>
          <w:rFonts w:ascii="Arial" w:hAnsi="Arial" w:cs="Arial"/>
          <w:sz w:val="24"/>
          <w:szCs w:val="24"/>
        </w:rPr>
      </w:pPr>
    </w:p>
    <w:p w:rsidR="00EF1F2C" w:rsidRDefault="00A10C9A" w:rsidP="00A10C9A">
      <w:pPr>
        <w:spacing w:after="0" w:line="240" w:lineRule="auto"/>
        <w:rPr>
          <w:rFonts w:ascii="Arial" w:hAnsi="Arial" w:cs="Arial"/>
          <w:sz w:val="24"/>
          <w:szCs w:val="24"/>
        </w:rPr>
      </w:pPr>
      <w:r>
        <w:rPr>
          <w:rFonts w:ascii="Arial" w:hAnsi="Arial" w:cs="Arial"/>
          <w:sz w:val="24"/>
          <w:szCs w:val="24"/>
        </w:rPr>
        <w:t>Sehr geehrte(r) Frau/Herr</w:t>
      </w:r>
      <w:r w:rsidR="00EF1F2C">
        <w:rPr>
          <w:rFonts w:ascii="Arial" w:hAnsi="Arial" w:cs="Arial"/>
          <w:sz w:val="24"/>
          <w:szCs w:val="24"/>
        </w:rPr>
        <w:t xml:space="preserve"> ___________________</w:t>
      </w:r>
      <w:r w:rsidR="00975F4C">
        <w:rPr>
          <w:rFonts w:ascii="Arial" w:hAnsi="Arial" w:cs="Arial"/>
          <w:sz w:val="24"/>
          <w:szCs w:val="24"/>
        </w:rPr>
        <w:t>,</w:t>
      </w:r>
    </w:p>
    <w:p w:rsidR="00A10C9A" w:rsidRPr="00EF1F2C" w:rsidRDefault="00EF1F2C" w:rsidP="00EF1F2C">
      <w:pPr>
        <w:spacing w:after="0" w:line="240" w:lineRule="auto"/>
        <w:ind w:left="2124"/>
        <w:rPr>
          <w:rFonts w:ascii="Arial" w:hAnsi="Arial" w:cs="Arial"/>
          <w:sz w:val="16"/>
          <w:szCs w:val="16"/>
        </w:rPr>
      </w:pPr>
      <w:r>
        <w:rPr>
          <w:rFonts w:ascii="Arial" w:hAnsi="Arial" w:cs="Arial"/>
          <w:sz w:val="24"/>
          <w:szCs w:val="24"/>
        </w:rPr>
        <w:t xml:space="preserve">          </w:t>
      </w:r>
      <w:r w:rsidR="00A10C9A" w:rsidRPr="00EF1F2C">
        <w:rPr>
          <w:rFonts w:ascii="Arial" w:hAnsi="Arial" w:cs="Arial"/>
          <w:sz w:val="16"/>
          <w:szCs w:val="16"/>
        </w:rPr>
        <w:t>[N</w:t>
      </w:r>
      <w:r w:rsidRPr="00EF1F2C">
        <w:rPr>
          <w:rFonts w:ascii="Arial" w:hAnsi="Arial" w:cs="Arial"/>
          <w:sz w:val="16"/>
          <w:szCs w:val="16"/>
        </w:rPr>
        <w:t>ame des Vermieters]</w:t>
      </w:r>
    </w:p>
    <w:p w:rsidR="00A10C9A" w:rsidRDefault="00A10C9A" w:rsidP="00A10C9A">
      <w:pPr>
        <w:spacing w:after="0" w:line="240" w:lineRule="auto"/>
        <w:rPr>
          <w:rFonts w:ascii="Arial" w:hAnsi="Arial" w:cs="Arial"/>
          <w:sz w:val="24"/>
          <w:szCs w:val="24"/>
        </w:rPr>
      </w:pPr>
    </w:p>
    <w:p w:rsidR="00941175" w:rsidRDefault="00A10C9A" w:rsidP="00A10C9A">
      <w:pPr>
        <w:spacing w:after="0" w:line="240" w:lineRule="auto"/>
        <w:rPr>
          <w:rFonts w:ascii="Arial" w:hAnsi="Arial" w:cs="Arial"/>
          <w:sz w:val="24"/>
          <w:szCs w:val="24"/>
        </w:rPr>
      </w:pPr>
      <w:r>
        <w:rPr>
          <w:rFonts w:ascii="Arial" w:hAnsi="Arial" w:cs="Arial"/>
          <w:sz w:val="24"/>
          <w:szCs w:val="24"/>
        </w:rPr>
        <w:t xml:space="preserve">hiermit übernehme </w:t>
      </w:r>
      <w:r w:rsidR="00EF1F2C">
        <w:rPr>
          <w:rFonts w:ascii="Arial" w:hAnsi="Arial" w:cs="Arial"/>
          <w:sz w:val="24"/>
          <w:szCs w:val="24"/>
        </w:rPr>
        <w:t>ich, ___________________</w:t>
      </w:r>
      <w:r>
        <w:rPr>
          <w:rFonts w:ascii="Arial" w:hAnsi="Arial" w:cs="Arial"/>
          <w:sz w:val="24"/>
          <w:szCs w:val="24"/>
        </w:rPr>
        <w:t>, eine Bürgschaft zum oben genann</w:t>
      </w:r>
      <w:r w:rsidR="00975F4C">
        <w:rPr>
          <w:rFonts w:ascii="Arial" w:hAnsi="Arial" w:cs="Arial"/>
          <w:sz w:val="24"/>
          <w:szCs w:val="24"/>
        </w:rPr>
        <w:t xml:space="preserve">ten Mietvertrag für den Mieter ______________________. </w:t>
      </w:r>
    </w:p>
    <w:p w:rsidR="00941175" w:rsidRDefault="00975F4C" w:rsidP="00A10C9A">
      <w:pPr>
        <w:spacing w:after="0" w:line="240" w:lineRule="auto"/>
        <w:rPr>
          <w:rFonts w:ascii="Arial" w:hAnsi="Arial" w:cs="Arial"/>
          <w:sz w:val="24"/>
          <w:szCs w:val="24"/>
        </w:rPr>
      </w:pPr>
      <w:r>
        <w:rPr>
          <w:rFonts w:ascii="Arial" w:hAnsi="Arial" w:cs="Arial"/>
          <w:sz w:val="24"/>
          <w:szCs w:val="24"/>
        </w:rPr>
        <w:t xml:space="preserve">Ich wohne in ______________________________ </w:t>
      </w:r>
      <w:r w:rsidR="00A10C9A">
        <w:rPr>
          <w:rFonts w:ascii="Arial" w:hAnsi="Arial" w:cs="Arial"/>
          <w:sz w:val="24"/>
          <w:szCs w:val="24"/>
        </w:rPr>
        <w:t>und bin am geboren</w:t>
      </w:r>
      <w:r>
        <w:rPr>
          <w:rFonts w:ascii="Arial" w:hAnsi="Arial" w:cs="Arial"/>
          <w:sz w:val="24"/>
          <w:szCs w:val="24"/>
        </w:rPr>
        <w:t xml:space="preserve"> in ______________________________</w:t>
      </w:r>
      <w:r w:rsidR="00A10C9A">
        <w:rPr>
          <w:rFonts w:ascii="Arial" w:hAnsi="Arial" w:cs="Arial"/>
          <w:sz w:val="24"/>
          <w:szCs w:val="24"/>
        </w:rPr>
        <w:t xml:space="preserve">. </w:t>
      </w:r>
    </w:p>
    <w:p w:rsidR="00A10C9A" w:rsidRDefault="00A10C9A" w:rsidP="00A10C9A">
      <w:pPr>
        <w:spacing w:after="0" w:line="240" w:lineRule="auto"/>
        <w:rPr>
          <w:rFonts w:ascii="Arial" w:hAnsi="Arial" w:cs="Arial"/>
          <w:sz w:val="24"/>
          <w:szCs w:val="24"/>
        </w:rPr>
      </w:pPr>
      <w:r>
        <w:rPr>
          <w:rFonts w:ascii="Arial" w:hAnsi="Arial" w:cs="Arial"/>
          <w:sz w:val="24"/>
          <w:szCs w:val="24"/>
        </w:rPr>
        <w:t>Meine Personalausweis-</w:t>
      </w:r>
      <w:r w:rsidR="00975F4C">
        <w:rPr>
          <w:rFonts w:ascii="Arial" w:hAnsi="Arial" w:cs="Arial"/>
          <w:sz w:val="24"/>
          <w:szCs w:val="24"/>
        </w:rPr>
        <w:t>Nr. lautet ______________________________</w:t>
      </w:r>
      <w:r>
        <w:rPr>
          <w:rFonts w:ascii="Arial" w:hAnsi="Arial" w:cs="Arial"/>
          <w:sz w:val="24"/>
          <w:szCs w:val="24"/>
        </w:rPr>
        <w:t>.</w:t>
      </w:r>
    </w:p>
    <w:p w:rsidR="00A10C9A" w:rsidRDefault="00A10C9A" w:rsidP="00A10C9A">
      <w:pPr>
        <w:spacing w:after="0" w:line="240" w:lineRule="auto"/>
        <w:rPr>
          <w:rFonts w:ascii="Arial" w:hAnsi="Arial" w:cs="Arial"/>
          <w:sz w:val="24"/>
          <w:szCs w:val="24"/>
        </w:rPr>
      </w:pPr>
    </w:p>
    <w:p w:rsidR="00A10C9A" w:rsidRDefault="00A10C9A" w:rsidP="00A10C9A">
      <w:pPr>
        <w:spacing w:after="0" w:line="240" w:lineRule="auto"/>
        <w:rPr>
          <w:rFonts w:ascii="Arial" w:hAnsi="Arial" w:cs="Arial"/>
          <w:sz w:val="24"/>
          <w:szCs w:val="24"/>
        </w:rPr>
      </w:pPr>
      <w:r>
        <w:rPr>
          <w:rFonts w:ascii="Arial" w:hAnsi="Arial" w:cs="Arial"/>
          <w:sz w:val="24"/>
          <w:szCs w:val="24"/>
        </w:rPr>
        <w:t>Ich versichere, dass ich den oben genannten Mieter im Falle einer Nichterfüllung seiner vertraglichen Pflichten und/oder Schäden an der Wohnung bis zu einer Höhe von maximal drei Monatsnettokaltmieten vertreten werde.</w:t>
      </w:r>
    </w:p>
    <w:p w:rsidR="00A10C9A" w:rsidRDefault="00A10C9A" w:rsidP="00A10C9A">
      <w:pPr>
        <w:spacing w:after="0" w:line="240" w:lineRule="auto"/>
        <w:rPr>
          <w:rFonts w:ascii="Arial" w:hAnsi="Arial" w:cs="Arial"/>
          <w:sz w:val="24"/>
          <w:szCs w:val="24"/>
        </w:rPr>
      </w:pPr>
    </w:p>
    <w:p w:rsidR="00A10C9A" w:rsidRDefault="00A10C9A" w:rsidP="00A10C9A">
      <w:pPr>
        <w:spacing w:after="0" w:line="240" w:lineRule="auto"/>
        <w:rPr>
          <w:rFonts w:ascii="Arial" w:hAnsi="Arial" w:cs="Arial"/>
          <w:sz w:val="24"/>
          <w:szCs w:val="24"/>
        </w:rPr>
      </w:pPr>
      <w:r>
        <w:rPr>
          <w:rFonts w:ascii="Arial" w:hAnsi="Arial" w:cs="Arial"/>
          <w:sz w:val="24"/>
          <w:szCs w:val="24"/>
        </w:rPr>
        <w:t>Bei Beendigung des Mietvertrages erlischt auch diese Mietbürgschaft, ohne dass diese eine gesonderte Kündigung bedarf.</w:t>
      </w:r>
    </w:p>
    <w:p w:rsidR="00A10C9A" w:rsidRDefault="00A10C9A" w:rsidP="00A10C9A">
      <w:pPr>
        <w:pStyle w:val="KeinLeerraum"/>
        <w:spacing w:line="360" w:lineRule="auto"/>
        <w:jc w:val="both"/>
        <w:rPr>
          <w:rFonts w:ascii="Verdana" w:hAnsi="Verdana" w:cs="Arial"/>
        </w:rPr>
      </w:pPr>
    </w:p>
    <w:p w:rsidR="00A10C9A" w:rsidRDefault="00A10C9A" w:rsidP="00A10C9A">
      <w:pPr>
        <w:pStyle w:val="KeinLeerraum"/>
        <w:spacing w:line="360" w:lineRule="auto"/>
        <w:jc w:val="both"/>
        <w:rPr>
          <w:rFonts w:ascii="Verdana" w:hAnsi="Verdana" w:cs="Arial"/>
        </w:rPr>
      </w:pPr>
    </w:p>
    <w:p w:rsidR="00A10C9A" w:rsidRDefault="00A10C9A" w:rsidP="00A10C9A">
      <w:pPr>
        <w:pStyle w:val="KeinLeerraum"/>
        <w:spacing w:line="360" w:lineRule="auto"/>
        <w:jc w:val="both"/>
        <w:rPr>
          <w:rFonts w:ascii="Verdana" w:hAnsi="Verdana" w:cs="Arial"/>
        </w:rPr>
      </w:pPr>
    </w:p>
    <w:p w:rsidR="00A10C9A" w:rsidRDefault="00A10C9A" w:rsidP="00A10C9A">
      <w:pPr>
        <w:pStyle w:val="KeinLeerraum"/>
        <w:spacing w:line="360" w:lineRule="auto"/>
        <w:jc w:val="both"/>
        <w:rPr>
          <w:rFonts w:ascii="Verdana" w:hAnsi="Verdana" w:cs="Arial"/>
        </w:rPr>
      </w:pPr>
      <w:r>
        <w:rPr>
          <w:rFonts w:ascii="Verdana" w:hAnsi="Verdana" w:cs="Arial"/>
        </w:rPr>
        <w:t>________________________</w:t>
      </w:r>
      <w:r>
        <w:rPr>
          <w:rFonts w:ascii="Verdana" w:hAnsi="Verdana" w:cs="Arial"/>
        </w:rPr>
        <w:tab/>
        <w:t>_______________________________</w:t>
      </w:r>
    </w:p>
    <w:p w:rsidR="00A10C9A" w:rsidRDefault="00A10C9A" w:rsidP="00EA57B9">
      <w:pPr>
        <w:pStyle w:val="KeinLeerraum"/>
        <w:spacing w:line="360" w:lineRule="auto"/>
        <w:jc w:val="both"/>
        <w:rPr>
          <w:rFonts w:ascii="Verdana" w:hAnsi="Verdana" w:cs="Arial"/>
          <w:sz w:val="14"/>
          <w:szCs w:val="14"/>
        </w:rPr>
      </w:pPr>
      <w:r>
        <w:rPr>
          <w:rFonts w:ascii="Verdana" w:hAnsi="Verdana" w:cs="Arial"/>
          <w:sz w:val="14"/>
          <w:szCs w:val="14"/>
        </w:rPr>
        <w:t xml:space="preserve">Ort, Datum </w:t>
      </w:r>
      <w:r>
        <w:rPr>
          <w:rFonts w:ascii="Verdana" w:hAnsi="Verdana" w:cs="Arial"/>
          <w:sz w:val="14"/>
          <w:szCs w:val="14"/>
        </w:rPr>
        <w:tab/>
      </w:r>
      <w:r>
        <w:rPr>
          <w:rFonts w:ascii="Verdana" w:hAnsi="Verdana" w:cs="Arial"/>
          <w:sz w:val="14"/>
          <w:szCs w:val="14"/>
        </w:rPr>
        <w:tab/>
      </w:r>
      <w:r>
        <w:rPr>
          <w:rFonts w:ascii="Verdana" w:hAnsi="Verdana" w:cs="Arial"/>
          <w:sz w:val="14"/>
          <w:szCs w:val="14"/>
        </w:rPr>
        <w:tab/>
      </w:r>
      <w:r>
        <w:rPr>
          <w:rFonts w:ascii="Verdana" w:hAnsi="Verdana" w:cs="Arial"/>
          <w:sz w:val="14"/>
          <w:szCs w:val="14"/>
        </w:rPr>
        <w:tab/>
        <w:t>Unterschrift (</w:t>
      </w:r>
      <w:r w:rsidR="00EA57B9">
        <w:rPr>
          <w:rFonts w:ascii="Verdana" w:hAnsi="Verdana" w:cs="Arial"/>
          <w:sz w:val="14"/>
          <w:szCs w:val="14"/>
        </w:rPr>
        <w:t>Bürge</w:t>
      </w:r>
      <w:r>
        <w:rPr>
          <w:rFonts w:ascii="Verdana" w:hAnsi="Verdana" w:cs="Arial"/>
          <w:sz w:val="14"/>
          <w:szCs w:val="14"/>
        </w:rPr>
        <w:t>)</w:t>
      </w:r>
    </w:p>
    <w:p w:rsidR="00EA57B9" w:rsidRDefault="00EA57B9" w:rsidP="00EA57B9">
      <w:pPr>
        <w:pStyle w:val="KeinLeerraum"/>
        <w:spacing w:line="360" w:lineRule="auto"/>
        <w:jc w:val="both"/>
        <w:rPr>
          <w:rFonts w:ascii="Verdana" w:hAnsi="Verdana" w:cs="Arial"/>
          <w:sz w:val="14"/>
          <w:szCs w:val="14"/>
        </w:rPr>
      </w:pPr>
    </w:p>
    <w:p w:rsidR="00EA57B9" w:rsidRDefault="00EA57B9" w:rsidP="00EA57B9">
      <w:pPr>
        <w:spacing w:before="100" w:beforeAutospacing="1" w:after="100" w:afterAutospacing="1" w:line="240" w:lineRule="auto"/>
        <w:outlineLvl w:val="0"/>
        <w:rPr>
          <w:rFonts w:ascii="Times New Roman" w:eastAsia="Times New Roman" w:hAnsi="Times New Roman"/>
          <w:b/>
          <w:bCs/>
          <w:kern w:val="36"/>
          <w:sz w:val="48"/>
          <w:szCs w:val="48"/>
          <w:lang w:eastAsia="de-DE"/>
        </w:rPr>
      </w:pPr>
    </w:p>
    <w:p w:rsidR="00EA57B9" w:rsidRDefault="00EA57B9" w:rsidP="00EA57B9">
      <w:pPr>
        <w:spacing w:before="100" w:beforeAutospacing="1" w:after="100" w:afterAutospacing="1" w:line="240" w:lineRule="auto"/>
        <w:outlineLvl w:val="0"/>
        <w:rPr>
          <w:rFonts w:ascii="Arial" w:eastAsia="Times New Roman" w:hAnsi="Arial" w:cs="Arial"/>
          <w:b/>
          <w:bCs/>
          <w:kern w:val="36"/>
          <w:sz w:val="14"/>
          <w:szCs w:val="14"/>
          <w:lang w:eastAsia="de-DE"/>
        </w:rPr>
      </w:pPr>
    </w:p>
    <w:p w:rsidR="00EA57B9" w:rsidRDefault="00EA57B9" w:rsidP="00EA57B9">
      <w:pPr>
        <w:spacing w:before="100" w:beforeAutospacing="1" w:after="100" w:afterAutospacing="1" w:line="240" w:lineRule="auto"/>
        <w:outlineLvl w:val="0"/>
        <w:rPr>
          <w:rFonts w:ascii="Arial" w:eastAsia="Times New Roman" w:hAnsi="Arial" w:cs="Arial"/>
          <w:b/>
          <w:bCs/>
          <w:kern w:val="36"/>
          <w:sz w:val="14"/>
          <w:szCs w:val="14"/>
          <w:lang w:eastAsia="de-DE"/>
        </w:rPr>
      </w:pPr>
    </w:p>
    <w:p w:rsidR="00EA57B9" w:rsidRDefault="00EA57B9" w:rsidP="00EA57B9">
      <w:pPr>
        <w:spacing w:before="100" w:beforeAutospacing="1" w:after="100" w:afterAutospacing="1" w:line="240" w:lineRule="auto"/>
        <w:outlineLvl w:val="0"/>
        <w:rPr>
          <w:rFonts w:ascii="Arial" w:eastAsia="Times New Roman" w:hAnsi="Arial" w:cs="Arial"/>
          <w:b/>
          <w:bCs/>
          <w:kern w:val="36"/>
          <w:sz w:val="14"/>
          <w:szCs w:val="14"/>
          <w:lang w:eastAsia="de-DE"/>
        </w:rPr>
      </w:pPr>
    </w:p>
    <w:p w:rsidR="00076BC7" w:rsidRDefault="00076BC7" w:rsidP="00076BC7">
      <w:pPr>
        <w:rPr>
          <w:rFonts w:ascii="Arial" w:eastAsiaTheme="minorHAnsi" w:hAnsi="Arial" w:cs="Arial"/>
          <w:iCs/>
          <w:color w:val="000000"/>
        </w:rPr>
      </w:pPr>
      <w:r w:rsidRPr="00877960">
        <w:rPr>
          <w:rFonts w:ascii="Arial" w:hAnsi="Arial"/>
          <w:sz w:val="28"/>
        </w:rPr>
        <w:lastRenderedPageBreak/>
        <w:sym w:font="Webdings" w:char="F069"/>
      </w:r>
      <w:r w:rsidRPr="00776351">
        <w:rPr>
          <w:rFonts w:ascii="Arial" w:hAnsi="Arial"/>
          <w:b/>
          <w:sz w:val="28"/>
        </w:rPr>
        <w:t xml:space="preserve"> </w:t>
      </w:r>
      <w:r>
        <w:rPr>
          <w:rFonts w:ascii="Arial" w:hAnsi="Arial" w:cs="Arial"/>
          <w:b/>
          <w:sz w:val="24"/>
          <w:szCs w:val="16"/>
          <w:lang w:eastAsia="de-DE"/>
        </w:rPr>
        <w:t>Eine Elternbürgschaft hat zur Folge, dass deine Eltern die Bonität gegenüber dem Vermieter bestätigen müssen.</w:t>
      </w:r>
      <w:r w:rsidRPr="00776351">
        <w:rPr>
          <w:rFonts w:ascii="Arial" w:eastAsiaTheme="minorHAnsi" w:hAnsi="Arial" w:cs="Arial"/>
          <w:iCs/>
          <w:color w:val="000000"/>
        </w:rPr>
        <w:t xml:space="preserve"> </w:t>
      </w:r>
      <w:r>
        <w:rPr>
          <w:rFonts w:ascii="Arial" w:eastAsiaTheme="minorHAnsi" w:hAnsi="Arial" w:cs="Arial"/>
          <w:iCs/>
          <w:color w:val="000000"/>
        </w:rPr>
        <w:t>Dafür wird in der Regel eine SCHUFA-Selbstauskunft von</w:t>
      </w:r>
      <w:r w:rsidR="002E5360">
        <w:rPr>
          <w:rFonts w:ascii="Arial" w:eastAsiaTheme="minorHAnsi" w:hAnsi="Arial" w:cs="Arial"/>
          <w:iCs/>
          <w:color w:val="000000"/>
        </w:rPr>
        <w:t xml:space="preserve"> mindesten</w:t>
      </w:r>
      <w:r>
        <w:rPr>
          <w:rFonts w:ascii="Arial" w:eastAsiaTheme="minorHAnsi" w:hAnsi="Arial" w:cs="Arial"/>
          <w:iCs/>
          <w:color w:val="000000"/>
        </w:rPr>
        <w:t xml:space="preserve"> einem Elternteil notwendig.</w:t>
      </w:r>
    </w:p>
    <w:p w:rsidR="00076BC7" w:rsidRPr="00393328" w:rsidRDefault="00393328" w:rsidP="00076BC7">
      <w:pPr>
        <w:pStyle w:val="Listenabsatz"/>
        <w:numPr>
          <w:ilvl w:val="0"/>
          <w:numId w:val="2"/>
        </w:numPr>
        <w:spacing w:line="360" w:lineRule="auto"/>
        <w:rPr>
          <w:rStyle w:val="Hyperlink"/>
          <w:rFonts w:ascii="Arial" w:eastAsiaTheme="minorHAnsi" w:hAnsi="Arial" w:cs="Arial"/>
          <w:iCs/>
        </w:rPr>
      </w:pPr>
      <w:r>
        <w:rPr>
          <w:rStyle w:val="Hyperlink"/>
          <w:rFonts w:ascii="Arial" w:eastAsiaTheme="minorHAnsi" w:hAnsi="Arial" w:cs="Arial"/>
          <w:iCs/>
        </w:rPr>
        <w:fldChar w:fldCharType="begin"/>
      </w:r>
      <w:r>
        <w:rPr>
          <w:rStyle w:val="Hyperlink"/>
          <w:rFonts w:ascii="Arial" w:eastAsiaTheme="minorHAnsi" w:hAnsi="Arial" w:cs="Arial"/>
          <w:iCs/>
        </w:rPr>
        <w:instrText xml:space="preserve"> HYPERLINK "https://schufa.immowelt.de/auskunft/?utm_medium=affiliate&amp;utm_source=netslave&amp;utm_campaign=114&amp;utm_content=wbs-rechner.de&amp;utm_keyword=95" </w:instrText>
      </w:r>
      <w:r>
        <w:rPr>
          <w:rStyle w:val="Hyperlink"/>
          <w:rFonts w:ascii="Arial" w:eastAsiaTheme="minorHAnsi" w:hAnsi="Arial" w:cs="Arial"/>
          <w:iCs/>
        </w:rPr>
      </w:r>
      <w:r>
        <w:rPr>
          <w:rStyle w:val="Hyperlink"/>
          <w:rFonts w:ascii="Arial" w:eastAsiaTheme="minorHAnsi" w:hAnsi="Arial" w:cs="Arial"/>
          <w:iCs/>
        </w:rPr>
        <w:fldChar w:fldCharType="separate"/>
      </w:r>
      <w:r w:rsidR="00076BC7" w:rsidRPr="00393328">
        <w:rPr>
          <w:rStyle w:val="Hyperlink"/>
          <w:rFonts w:ascii="Arial" w:eastAsiaTheme="minorHAnsi" w:hAnsi="Arial" w:cs="Arial"/>
          <w:iCs/>
        </w:rPr>
        <w:t xml:space="preserve">Jetzt offizielle SCHUFA-Auskunft </w:t>
      </w:r>
      <w:proofErr w:type="gramStart"/>
      <w:r w:rsidR="00076BC7" w:rsidRPr="00393328">
        <w:rPr>
          <w:rStyle w:val="Hyperlink"/>
          <w:rFonts w:ascii="Arial" w:eastAsiaTheme="minorHAnsi" w:hAnsi="Arial" w:cs="Arial"/>
          <w:iCs/>
        </w:rPr>
        <w:t>beatragen</w:t>
      </w:r>
      <w:proofErr w:type="gramEnd"/>
      <w:r w:rsidR="00076BC7" w:rsidRPr="00393328">
        <w:rPr>
          <w:rStyle w:val="Hyperlink"/>
          <w:rFonts w:ascii="Arial" w:eastAsiaTheme="minorHAnsi" w:hAnsi="Arial" w:cs="Arial"/>
          <w:iCs/>
        </w:rPr>
        <w:t>.</w:t>
      </w:r>
    </w:p>
    <w:p w:rsidR="00076BC7" w:rsidRDefault="00393328" w:rsidP="00EA57B9">
      <w:pPr>
        <w:rPr>
          <w:rFonts w:ascii="Arial" w:hAnsi="Arial" w:cs="Arial"/>
          <w:b/>
          <w:sz w:val="24"/>
          <w:szCs w:val="16"/>
          <w:lang w:eastAsia="de-DE"/>
        </w:rPr>
      </w:pPr>
      <w:r>
        <w:rPr>
          <w:rStyle w:val="Hyperlink"/>
          <w:rFonts w:ascii="Arial" w:eastAsiaTheme="minorHAnsi" w:hAnsi="Arial" w:cs="Arial"/>
          <w:iCs/>
        </w:rPr>
        <w:fldChar w:fldCharType="end"/>
      </w:r>
      <w:bookmarkStart w:id="0" w:name="_GoBack"/>
      <w:bookmarkEnd w:id="0"/>
    </w:p>
    <w:p w:rsidR="00EA57B9" w:rsidRPr="00EA57B9" w:rsidRDefault="00EA57B9" w:rsidP="00EA57B9">
      <w:pPr>
        <w:rPr>
          <w:rFonts w:ascii="Arial" w:hAnsi="Arial" w:cs="Arial"/>
          <w:b/>
          <w:sz w:val="24"/>
          <w:szCs w:val="16"/>
          <w:lang w:eastAsia="de-DE"/>
        </w:rPr>
      </w:pPr>
      <w:r w:rsidRPr="00EA57B9">
        <w:rPr>
          <w:rFonts w:ascii="Arial" w:hAnsi="Arial" w:cs="Arial"/>
          <w:b/>
          <w:sz w:val="24"/>
          <w:szCs w:val="16"/>
          <w:lang w:eastAsia="de-DE"/>
        </w:rPr>
        <w:t>Das sagt das BGB zur Bürgschaft, Mietbürgschaft &amp; Elternbürgschaft</w:t>
      </w:r>
    </w:p>
    <w:p w:rsidR="00EA57B9" w:rsidRPr="00D132DE" w:rsidRDefault="00EA57B9" w:rsidP="00EA57B9">
      <w:pPr>
        <w:rPr>
          <w:rFonts w:ascii="Arial" w:hAnsi="Arial" w:cs="Arial"/>
          <w:b/>
          <w:i/>
          <w:sz w:val="16"/>
          <w:szCs w:val="16"/>
          <w:lang w:eastAsia="de-DE"/>
        </w:rPr>
      </w:pPr>
      <w:r w:rsidRPr="00D132DE">
        <w:rPr>
          <w:rFonts w:ascii="Arial" w:hAnsi="Arial" w:cs="Arial"/>
          <w:b/>
          <w:i/>
          <w:sz w:val="16"/>
          <w:szCs w:val="16"/>
          <w:lang w:eastAsia="de-DE"/>
        </w:rPr>
        <w:t>§ 765 Vertragstypische Pflichten bei der Bürgschaft</w:t>
      </w:r>
    </w:p>
    <w:p w:rsidR="00EA57B9" w:rsidRPr="00D132DE" w:rsidRDefault="00EA57B9" w:rsidP="00EA57B9">
      <w:pPr>
        <w:rPr>
          <w:rFonts w:ascii="Arial" w:hAnsi="Arial" w:cs="Arial"/>
          <w:i/>
          <w:sz w:val="16"/>
          <w:szCs w:val="16"/>
          <w:lang w:eastAsia="de-DE"/>
        </w:rPr>
      </w:pPr>
      <w:r w:rsidRPr="00D132DE">
        <w:rPr>
          <w:rFonts w:ascii="Arial" w:hAnsi="Arial" w:cs="Arial"/>
          <w:i/>
          <w:sz w:val="16"/>
          <w:szCs w:val="16"/>
          <w:lang w:eastAsia="de-DE"/>
        </w:rPr>
        <w:t>(1) Durch den Bürgschaftsvertrag verpflichtet sich der Bürge gegenüber dem Gläubiger eines Dritten, für die Erfüllung der Verbindlichkeit des Dritten einzustehen.</w:t>
      </w:r>
    </w:p>
    <w:p w:rsidR="00EA57B9" w:rsidRPr="00D132DE" w:rsidRDefault="00EA57B9" w:rsidP="00EA57B9">
      <w:pPr>
        <w:rPr>
          <w:rFonts w:ascii="Arial" w:hAnsi="Arial" w:cs="Arial"/>
          <w:i/>
          <w:sz w:val="16"/>
          <w:szCs w:val="16"/>
        </w:rPr>
      </w:pPr>
      <w:r w:rsidRPr="00D132DE">
        <w:rPr>
          <w:rFonts w:ascii="Arial" w:hAnsi="Arial" w:cs="Arial"/>
          <w:i/>
          <w:sz w:val="16"/>
          <w:szCs w:val="16"/>
          <w:lang w:eastAsia="de-DE"/>
        </w:rPr>
        <w:t>(2) Die Bürgschaft kann auch für eine künftige oder eine bedingte Verbindlichkeit übernommen werden.</w:t>
      </w:r>
    </w:p>
    <w:p w:rsidR="00EA57B9" w:rsidRPr="00D132DE" w:rsidRDefault="00EA57B9" w:rsidP="00EA57B9">
      <w:pPr>
        <w:rPr>
          <w:rFonts w:ascii="Arial" w:hAnsi="Arial" w:cs="Arial"/>
          <w:i/>
          <w:sz w:val="16"/>
          <w:szCs w:val="16"/>
        </w:rPr>
      </w:pPr>
    </w:p>
    <w:p w:rsidR="00EA57B9" w:rsidRPr="00D132DE" w:rsidRDefault="00EA57B9" w:rsidP="00EA57B9">
      <w:pPr>
        <w:rPr>
          <w:rFonts w:ascii="Arial" w:hAnsi="Arial" w:cs="Arial"/>
          <w:b/>
          <w:i/>
          <w:sz w:val="16"/>
          <w:szCs w:val="16"/>
        </w:rPr>
      </w:pPr>
      <w:r w:rsidRPr="00D132DE">
        <w:rPr>
          <w:rFonts w:ascii="Arial" w:hAnsi="Arial" w:cs="Arial"/>
          <w:b/>
          <w:i/>
          <w:sz w:val="16"/>
          <w:szCs w:val="16"/>
        </w:rPr>
        <w:t>§ 766 Schriftform der Bürgschaftserklärung</w:t>
      </w:r>
    </w:p>
    <w:p w:rsidR="00EA57B9" w:rsidRPr="00D132DE" w:rsidRDefault="00EA57B9" w:rsidP="00EA57B9">
      <w:pPr>
        <w:rPr>
          <w:rFonts w:ascii="Arial" w:hAnsi="Arial" w:cs="Arial"/>
          <w:i/>
          <w:sz w:val="16"/>
          <w:szCs w:val="16"/>
        </w:rPr>
      </w:pPr>
      <w:r w:rsidRPr="00D132DE">
        <w:rPr>
          <w:rFonts w:ascii="Arial" w:hAnsi="Arial" w:cs="Arial"/>
          <w:i/>
          <w:sz w:val="16"/>
          <w:szCs w:val="16"/>
        </w:rPr>
        <w:t>Zur Gültigkeit des Bürgschaftsvertrags ist schriftliche Erteilung der Bürgschaftserklärung erforderlich. Die Erteilung der Bürgschaftserklärung in elektronischer Form ist ausgeschlossen. Soweit der Bürge die Hauptverbindlichkeit erfüllt, wird der Mangel der Form geheilt.</w:t>
      </w:r>
    </w:p>
    <w:p w:rsidR="00EA57B9" w:rsidRPr="00D132DE" w:rsidRDefault="00EA57B9" w:rsidP="00EA57B9">
      <w:pPr>
        <w:rPr>
          <w:rFonts w:ascii="Arial" w:hAnsi="Arial" w:cs="Arial"/>
          <w:i/>
          <w:sz w:val="16"/>
          <w:szCs w:val="16"/>
        </w:rPr>
      </w:pPr>
    </w:p>
    <w:p w:rsidR="00EA57B9" w:rsidRPr="00D132DE" w:rsidRDefault="00EA57B9" w:rsidP="00EA57B9">
      <w:pPr>
        <w:rPr>
          <w:rFonts w:ascii="Arial" w:eastAsia="Times New Roman" w:hAnsi="Arial" w:cs="Arial"/>
          <w:b/>
          <w:bCs/>
          <w:i/>
          <w:kern w:val="36"/>
          <w:sz w:val="16"/>
          <w:szCs w:val="16"/>
          <w:lang w:eastAsia="de-DE"/>
        </w:rPr>
      </w:pPr>
      <w:r w:rsidRPr="00D132DE">
        <w:rPr>
          <w:rFonts w:ascii="Arial" w:eastAsia="Times New Roman" w:hAnsi="Arial" w:cs="Arial"/>
          <w:b/>
          <w:bCs/>
          <w:i/>
          <w:kern w:val="36"/>
          <w:sz w:val="16"/>
          <w:szCs w:val="16"/>
          <w:lang w:eastAsia="de-DE"/>
        </w:rPr>
        <w:t>§ 767 Umfang der Bürgschaftsschuld</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(1) Für die Verpflichtung des Bürgen ist der jeweilige Bestand der Hauptverbindlichkeit maßgebend. Dies gilt insbesondere auch, wenn die Hauptverbindlichkeit durch Verschulden oder Verzug des Hauptschuldners geändert wird. Durch ein Rechtsgeschäft, das der Hauptschuldner nach der Übernahme der Bürgschaft vornimmt, wird die Verpflichtung des Bürgen nicht erweitert.</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(2) Der Bürge haftet für die dem Gläubiger von dem Hauptschuldner zu ersetzenden Kosten der Kündigung und der Rechtsverfolgung.</w:t>
      </w:r>
    </w:p>
    <w:p w:rsidR="00EA57B9" w:rsidRPr="00D132DE" w:rsidRDefault="00EA57B9" w:rsidP="00EA57B9">
      <w:pPr>
        <w:rPr>
          <w:rFonts w:ascii="Arial" w:hAnsi="Arial" w:cs="Arial"/>
          <w:i/>
          <w:sz w:val="16"/>
          <w:szCs w:val="16"/>
        </w:rPr>
      </w:pPr>
    </w:p>
    <w:p w:rsidR="00EA57B9" w:rsidRPr="00D132DE" w:rsidRDefault="00EA57B9" w:rsidP="00EA57B9">
      <w:pPr>
        <w:rPr>
          <w:rFonts w:ascii="Arial" w:eastAsia="Times New Roman" w:hAnsi="Arial" w:cs="Arial"/>
          <w:b/>
          <w:bCs/>
          <w:i/>
          <w:kern w:val="36"/>
          <w:sz w:val="16"/>
          <w:szCs w:val="16"/>
          <w:lang w:eastAsia="de-DE"/>
        </w:rPr>
      </w:pPr>
      <w:r w:rsidRPr="00D132DE">
        <w:rPr>
          <w:rFonts w:ascii="Arial" w:eastAsia="Times New Roman" w:hAnsi="Arial" w:cs="Arial"/>
          <w:b/>
          <w:bCs/>
          <w:i/>
          <w:kern w:val="36"/>
          <w:sz w:val="16"/>
          <w:szCs w:val="16"/>
          <w:lang w:eastAsia="de-DE"/>
        </w:rPr>
        <w:t>§ 768 Einreden des Bürgen</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(1) Der Bürge kann die dem Hauptschuldner zustehenden Einreden geltend machen. Stirbt der Hauptschuldner, so kann sich der Bürge nicht darauf berufen, dass der Erbe für die Verbindlichkeit nur beschränkt haftet.</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(2) Der Bürge verliert eine Einrede nicht dadurch, dass der Hauptschuldner auf sie verzichtet.</w:t>
      </w:r>
    </w:p>
    <w:p w:rsidR="00EA57B9" w:rsidRPr="00D132DE" w:rsidRDefault="00EA57B9" w:rsidP="00EA57B9">
      <w:pPr>
        <w:rPr>
          <w:rFonts w:ascii="Arial" w:hAnsi="Arial" w:cs="Arial"/>
          <w:i/>
          <w:sz w:val="16"/>
          <w:szCs w:val="16"/>
        </w:rPr>
      </w:pPr>
    </w:p>
    <w:p w:rsidR="00EA57B9" w:rsidRPr="00D132DE" w:rsidRDefault="00EA57B9" w:rsidP="00EA57B9">
      <w:pPr>
        <w:rPr>
          <w:rFonts w:ascii="Arial" w:eastAsia="Times New Roman" w:hAnsi="Arial" w:cs="Arial"/>
          <w:b/>
          <w:bCs/>
          <w:i/>
          <w:kern w:val="36"/>
          <w:sz w:val="16"/>
          <w:szCs w:val="16"/>
          <w:lang w:eastAsia="de-DE"/>
        </w:rPr>
      </w:pPr>
      <w:r w:rsidRPr="00D132DE">
        <w:rPr>
          <w:rFonts w:ascii="Arial" w:eastAsia="Times New Roman" w:hAnsi="Arial" w:cs="Arial"/>
          <w:b/>
          <w:bCs/>
          <w:i/>
          <w:kern w:val="36"/>
          <w:sz w:val="16"/>
          <w:szCs w:val="16"/>
          <w:lang w:eastAsia="de-DE"/>
        </w:rPr>
        <w:t>§ 769 Mitbürgschaft</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Verbürgen sich mehrere für dieselbe Verbindlichkeit, so haften sie als Gesamtschuldner, auch wenn sie die Bürgschaft nicht gemeinschaftlich übernehmen.</w:t>
      </w:r>
    </w:p>
    <w:p w:rsidR="00EA57B9" w:rsidRPr="00D132DE" w:rsidRDefault="00EA57B9" w:rsidP="00EA57B9">
      <w:pPr>
        <w:rPr>
          <w:rFonts w:ascii="Arial" w:hAnsi="Arial" w:cs="Arial"/>
          <w:i/>
          <w:sz w:val="16"/>
          <w:szCs w:val="16"/>
        </w:rPr>
      </w:pPr>
    </w:p>
    <w:p w:rsidR="00EA57B9" w:rsidRPr="00D132DE" w:rsidRDefault="00EA57B9" w:rsidP="00EA57B9">
      <w:pPr>
        <w:rPr>
          <w:rFonts w:ascii="Arial" w:eastAsia="Times New Roman" w:hAnsi="Arial" w:cs="Arial"/>
          <w:b/>
          <w:bCs/>
          <w:i/>
          <w:kern w:val="36"/>
          <w:sz w:val="16"/>
          <w:szCs w:val="16"/>
          <w:lang w:eastAsia="de-DE"/>
        </w:rPr>
      </w:pPr>
      <w:r w:rsidRPr="00D132DE">
        <w:rPr>
          <w:rFonts w:ascii="Arial" w:eastAsia="Times New Roman" w:hAnsi="Arial" w:cs="Arial"/>
          <w:b/>
          <w:bCs/>
          <w:i/>
          <w:kern w:val="36"/>
          <w:sz w:val="16"/>
          <w:szCs w:val="16"/>
          <w:lang w:eastAsia="de-DE"/>
        </w:rPr>
        <w:t>§ 770 Einreden der Anfechtbarkeit und der Aufrechenbarkeit</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(1) Der Bürge kann die Befriedigung des Gläubigers verweigern, solange dem Hauptschuldner das Recht zusteht, das seiner Verbindlichkeit zugrunde liegende Rechtsgeschäft anzufechten.</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(2) Die gleiche Befugnis hat der Bürge, solange sich der Gläubiger durch Aufrechnung gegen eine fällige Forderung des Hauptschuldners befriedigen kann.</w:t>
      </w:r>
    </w:p>
    <w:p w:rsidR="00EA57B9" w:rsidRPr="00D132DE" w:rsidRDefault="00EA57B9" w:rsidP="00EA57B9">
      <w:pPr>
        <w:rPr>
          <w:rFonts w:ascii="Arial" w:hAnsi="Arial" w:cs="Arial"/>
          <w:i/>
          <w:sz w:val="16"/>
          <w:szCs w:val="16"/>
        </w:rPr>
      </w:pPr>
    </w:p>
    <w:p w:rsidR="00EA57B9" w:rsidRPr="00D132DE" w:rsidRDefault="00EA57B9" w:rsidP="00EA57B9">
      <w:pPr>
        <w:rPr>
          <w:rFonts w:ascii="Arial" w:eastAsia="Times New Roman" w:hAnsi="Arial" w:cs="Arial"/>
          <w:b/>
          <w:bCs/>
          <w:i/>
          <w:kern w:val="36"/>
          <w:sz w:val="16"/>
          <w:szCs w:val="16"/>
          <w:lang w:eastAsia="de-DE"/>
        </w:rPr>
      </w:pPr>
      <w:r w:rsidRPr="00D132DE">
        <w:rPr>
          <w:rFonts w:ascii="Arial" w:eastAsia="Times New Roman" w:hAnsi="Arial" w:cs="Arial"/>
          <w:b/>
          <w:bCs/>
          <w:i/>
          <w:kern w:val="36"/>
          <w:sz w:val="16"/>
          <w:szCs w:val="16"/>
          <w:lang w:eastAsia="de-DE"/>
        </w:rPr>
        <w:lastRenderedPageBreak/>
        <w:t>§ 771 Einrede der Vorausklage</w:t>
      </w:r>
    </w:p>
    <w:p w:rsidR="00EA57B9" w:rsidRDefault="00EA57B9" w:rsidP="00076BC7">
      <w:pPr>
        <w:rPr>
          <w:rFonts w:ascii="Arial" w:eastAsia="Times New Roman" w:hAnsi="Arial" w:cs="Arial"/>
          <w:i/>
          <w:sz w:val="16"/>
          <w:szCs w:val="16"/>
          <w:lang w:eastAsia="de-DE"/>
        </w:rPr>
      </w:pPr>
      <w:r w:rsidRPr="00D132DE">
        <w:rPr>
          <w:rFonts w:ascii="Arial" w:eastAsia="Times New Roman" w:hAnsi="Arial" w:cs="Arial"/>
          <w:i/>
          <w:sz w:val="16"/>
          <w:szCs w:val="16"/>
          <w:lang w:eastAsia="de-DE"/>
        </w:rPr>
        <w:t>Der Bürge kann die Befriedigung des Gläubigers verweigern, solange nicht der Gläubiger eine Zwangsvollstreckung gegen den Hauptschuldner ohne Erfolg versucht hat (Einrede der Vorausklage). Erhebt der Bürge die Einrede der Vorausklage, ist die Verjährung des Anspruchs des Gläubigers gegen den Bürgen gehemmt, bis der Gläubiger eine Zwangsvollstreckung gegen den Hauptschuldner ohne Erfolg versucht hat.</w:t>
      </w:r>
    </w:p>
    <w:p w:rsidR="00076BC7" w:rsidRPr="00D132DE" w:rsidRDefault="00076BC7" w:rsidP="00076BC7">
      <w:pPr>
        <w:rPr>
          <w:rFonts w:ascii="Arial" w:eastAsia="Times New Roman" w:hAnsi="Arial" w:cs="Arial"/>
          <w:b/>
          <w:bCs/>
          <w:i/>
          <w:kern w:val="36"/>
          <w:sz w:val="16"/>
          <w:szCs w:val="16"/>
          <w:lang w:eastAsia="de-DE"/>
        </w:rPr>
      </w:pPr>
    </w:p>
    <w:p w:rsidR="00EA57B9" w:rsidRPr="00D132DE" w:rsidRDefault="00EA57B9" w:rsidP="00EA57B9">
      <w:pPr>
        <w:rPr>
          <w:rFonts w:ascii="Arial" w:eastAsia="Times New Roman" w:hAnsi="Arial" w:cs="Arial"/>
          <w:b/>
          <w:bCs/>
          <w:i/>
          <w:kern w:val="36"/>
          <w:sz w:val="16"/>
          <w:szCs w:val="16"/>
          <w:lang w:eastAsia="de-DE"/>
        </w:rPr>
      </w:pPr>
      <w:r w:rsidRPr="00D132DE">
        <w:rPr>
          <w:rFonts w:ascii="Arial" w:eastAsia="Times New Roman" w:hAnsi="Arial" w:cs="Arial"/>
          <w:b/>
          <w:bCs/>
          <w:i/>
          <w:kern w:val="36"/>
          <w:sz w:val="16"/>
          <w:szCs w:val="16"/>
          <w:lang w:eastAsia="de-DE"/>
        </w:rPr>
        <w:t>§ 772 Vollstreckungs- und Verwertungspflicht des Gläubigers</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(1) Besteht die Bürgschaft für eine Geldforderung, so muss die Zwangsvollstreckung in die beweglichen Sachen des Hauptschuldners an seinem Wohnsitz und, wenn der Hauptschuldner an einem anderen Orte eine gewerbliche Niederlassung hat, auch an diesem Orte, in Ermangelung eines Wohnsitzes und einer gewerblichen Niederlassung an seinem Aufenthaltsort versucht werden.</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(2) Steht dem Gläubiger ein Pfandrecht oder ein Zurückbehaltungsrecht an einer beweglichen Sache des Hauptschuldners zu, so muss er auch aus dieser Sache Befriedigung suchen. Steht dem Gläubiger ein solches Recht an der Sache auch für eine andere Forderung zu, so gilt dies nur, wenn beide Forderungen durch den Wert der Sache gedeckt werden.</w:t>
      </w:r>
    </w:p>
    <w:p w:rsidR="00EA57B9" w:rsidRPr="00D132DE" w:rsidRDefault="00EA57B9" w:rsidP="00EA57B9">
      <w:pPr>
        <w:rPr>
          <w:rFonts w:ascii="Arial" w:hAnsi="Arial" w:cs="Arial"/>
          <w:i/>
          <w:sz w:val="16"/>
          <w:szCs w:val="16"/>
        </w:rPr>
      </w:pPr>
    </w:p>
    <w:p w:rsidR="00EA57B9" w:rsidRPr="00D132DE" w:rsidRDefault="00EA57B9" w:rsidP="00EA57B9">
      <w:pPr>
        <w:rPr>
          <w:rFonts w:ascii="Arial" w:eastAsia="Times New Roman" w:hAnsi="Arial" w:cs="Arial"/>
          <w:b/>
          <w:bCs/>
          <w:i/>
          <w:kern w:val="36"/>
          <w:sz w:val="16"/>
          <w:szCs w:val="16"/>
          <w:lang w:eastAsia="de-DE"/>
        </w:rPr>
      </w:pPr>
      <w:r w:rsidRPr="00D132DE">
        <w:rPr>
          <w:rFonts w:ascii="Arial" w:eastAsia="Times New Roman" w:hAnsi="Arial" w:cs="Arial"/>
          <w:b/>
          <w:bCs/>
          <w:i/>
          <w:kern w:val="36"/>
          <w:sz w:val="16"/>
          <w:szCs w:val="16"/>
          <w:lang w:eastAsia="de-DE"/>
        </w:rPr>
        <w:t>§ 773 Ausschluss der Einrede der Vorausklage</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 xml:space="preserve">(1) Die Einrede der Vorausklage ist ausgeschlossen: </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1. wenn der Bürge auf die Einrede verzichtet, insbesondere wenn er sich als Selbstschuldner verbürgt hat,</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2. wenn die Rechtsverfolgung gegen den Hauptschuldner infolge einer nach der Übernahme der Bürgschaft eingetretenen Änderung des Wohnsitzes, der gewerblichen Niederlassung oder des Aufenthaltsorts des Hauptschuldners wesentlich erschwert ist,</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3. wenn über das Vermögen des Hauptschuldners das Insolvenzverfahren eröffnet ist,</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4. wenn anzunehmen ist, dass die Zwangsvollstreckung in das Vermögen des Hauptschuldners nicht zur Befriedigung des Gläubigers führen wird.</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(2) In den Fällen der Nummern 3, 4 ist die Einrede insoweit zulässig, als sich der Gläubiger aus einer beweglichen Sache des Hauptschuldners befriedigen kann, an der er ein Pfandrecht oder ein Zurückbehaltungsrecht hat; die Vorschrift des § 772 Abs. 2 Satz 2 findet Anwendung.</w:t>
      </w:r>
    </w:p>
    <w:p w:rsidR="00EA57B9" w:rsidRPr="00D132DE" w:rsidRDefault="00EA57B9" w:rsidP="00EA57B9">
      <w:pPr>
        <w:rPr>
          <w:rFonts w:ascii="Arial" w:hAnsi="Arial" w:cs="Arial"/>
          <w:i/>
          <w:sz w:val="16"/>
          <w:szCs w:val="16"/>
        </w:rPr>
      </w:pPr>
    </w:p>
    <w:p w:rsidR="00EA57B9" w:rsidRPr="00D132DE" w:rsidRDefault="00EA57B9" w:rsidP="00EA57B9">
      <w:pPr>
        <w:rPr>
          <w:rFonts w:ascii="Arial" w:eastAsia="Times New Roman" w:hAnsi="Arial" w:cs="Arial"/>
          <w:b/>
          <w:bCs/>
          <w:i/>
          <w:kern w:val="36"/>
          <w:sz w:val="16"/>
          <w:szCs w:val="16"/>
          <w:lang w:eastAsia="de-DE"/>
        </w:rPr>
      </w:pPr>
      <w:r w:rsidRPr="00D132DE">
        <w:rPr>
          <w:rFonts w:ascii="Arial" w:eastAsia="Times New Roman" w:hAnsi="Arial" w:cs="Arial"/>
          <w:b/>
          <w:bCs/>
          <w:i/>
          <w:kern w:val="36"/>
          <w:sz w:val="16"/>
          <w:szCs w:val="16"/>
          <w:lang w:eastAsia="de-DE"/>
        </w:rPr>
        <w:t>§ 774 Gesetzlicher Forderungsübergang</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(1) Soweit der Bürge den Gläubiger befriedigt, geht die Forderung des Gläubigers gegen den Hauptschuldner auf ihn über. Der Übergang kann nicht zum Nachteil des Gläubigers geltend gemacht werden. Einwendungen des Hauptschuldners aus einem zwischen ihm und dem Bürgen bestehenden Rechtsverhältnis bleiben unberührt.</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(2) Mitbürgen haften einander nur nach § 426.</w:t>
      </w:r>
    </w:p>
    <w:p w:rsidR="00EA57B9" w:rsidRPr="00D132DE" w:rsidRDefault="00EA57B9" w:rsidP="00EA57B9">
      <w:pPr>
        <w:rPr>
          <w:rFonts w:ascii="Arial" w:hAnsi="Arial" w:cs="Arial"/>
          <w:i/>
          <w:sz w:val="16"/>
          <w:szCs w:val="16"/>
        </w:rPr>
      </w:pPr>
    </w:p>
    <w:p w:rsidR="00EA57B9" w:rsidRPr="00D132DE" w:rsidRDefault="00EA57B9" w:rsidP="00EA57B9">
      <w:pPr>
        <w:rPr>
          <w:rFonts w:ascii="Arial" w:eastAsia="Times New Roman" w:hAnsi="Arial" w:cs="Arial"/>
          <w:b/>
          <w:bCs/>
          <w:i/>
          <w:kern w:val="36"/>
          <w:sz w:val="16"/>
          <w:szCs w:val="16"/>
          <w:lang w:eastAsia="de-DE"/>
        </w:rPr>
      </w:pPr>
      <w:r w:rsidRPr="00D132DE">
        <w:rPr>
          <w:rFonts w:ascii="Arial" w:eastAsia="Times New Roman" w:hAnsi="Arial" w:cs="Arial"/>
          <w:b/>
          <w:bCs/>
          <w:i/>
          <w:kern w:val="36"/>
          <w:sz w:val="16"/>
          <w:szCs w:val="16"/>
          <w:lang w:eastAsia="de-DE"/>
        </w:rPr>
        <w:t>§ 775 Anspruch des Bürgen auf Befreiung</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 xml:space="preserve">(1) Hat sich der Bürge im Auftrag des Hauptschuldners verbürgt oder stehen ihm nach den Vorschriften über die Geschäftsführung ohne Auftrag wegen der Übernahme der Bürgschaft die Rechte eines Beauftragten gegen den Hauptschuldner zu, so kann er von diesem Befreiung von der Bürgschaft verlangen: </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1. wenn sich die Vermögensverhältnisse des Hauptschuldners wesentlich verschlechtert haben,</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2. wenn die Rechtsverfolgung gegen den Hauptschuldner infolge einer nach der Übernahme der Bürgschaft eingetretenen Änderung des Wohnsitzes, der gewerblichen Niederlassung oder des Aufenthaltsorts des Hauptschuldners wesentlich erschwert ist,</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3. wenn der Hauptschuldner mit der Erfüllung seiner Verbindlichkeit im Verzug ist,</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4. wenn der Gläubiger gegen den Bürgen ein vollstreckbares Urteil auf Erfüllung erwirkt hat.</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lastRenderedPageBreak/>
        <w:t>(2) Ist die Hauptverbindlichkeit noch nicht fällig, so kann der Hauptschuldner dem Bürgen, statt ihn zu befreien, Sicherheit leisten.</w:t>
      </w:r>
    </w:p>
    <w:p w:rsidR="00076BC7" w:rsidRDefault="00076BC7" w:rsidP="00EA57B9">
      <w:pPr>
        <w:rPr>
          <w:rFonts w:ascii="Arial" w:eastAsia="Times New Roman" w:hAnsi="Arial" w:cs="Arial"/>
          <w:b/>
          <w:bCs/>
          <w:i/>
          <w:kern w:val="36"/>
          <w:sz w:val="16"/>
          <w:szCs w:val="16"/>
          <w:lang w:eastAsia="de-DE"/>
        </w:rPr>
      </w:pPr>
    </w:p>
    <w:p w:rsidR="00EA57B9" w:rsidRPr="00D132DE" w:rsidRDefault="00EA57B9" w:rsidP="00EA57B9">
      <w:pPr>
        <w:rPr>
          <w:rFonts w:ascii="Arial" w:eastAsia="Times New Roman" w:hAnsi="Arial" w:cs="Arial"/>
          <w:b/>
          <w:bCs/>
          <w:i/>
          <w:kern w:val="36"/>
          <w:sz w:val="16"/>
          <w:szCs w:val="16"/>
          <w:lang w:eastAsia="de-DE"/>
        </w:rPr>
      </w:pPr>
      <w:r w:rsidRPr="00D132DE">
        <w:rPr>
          <w:rFonts w:ascii="Arial" w:eastAsia="Times New Roman" w:hAnsi="Arial" w:cs="Arial"/>
          <w:b/>
          <w:bCs/>
          <w:i/>
          <w:kern w:val="36"/>
          <w:sz w:val="16"/>
          <w:szCs w:val="16"/>
          <w:lang w:eastAsia="de-DE"/>
        </w:rPr>
        <w:t>§ 776 Aufgabe einer Sicherheit</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Gibt der Gläubiger ein mit der Forderung verbundenes Vorzugsrecht, eine für sie bestehende Hypothek oder Schiffshypothek, ein für sie bestehendes Pfandrecht oder das Recht gegen einen Mitbürgen auf, so wird der Bürge insoweit frei, als er aus dem aufgegebenen Recht nach § 774 hätte Ersatz erlangen können. Dies gilt auch dann, wenn das aufgegebene Recht erst nach der Übernahme der Bürgschaft entstanden ist.</w:t>
      </w:r>
    </w:p>
    <w:p w:rsidR="00EA57B9" w:rsidRPr="00D132DE" w:rsidRDefault="00EA57B9" w:rsidP="00EA57B9">
      <w:pPr>
        <w:rPr>
          <w:rFonts w:ascii="Arial" w:hAnsi="Arial" w:cs="Arial"/>
          <w:i/>
          <w:sz w:val="16"/>
          <w:szCs w:val="16"/>
        </w:rPr>
      </w:pPr>
    </w:p>
    <w:p w:rsidR="00EA57B9" w:rsidRPr="00D132DE" w:rsidRDefault="00EA57B9" w:rsidP="00EA57B9">
      <w:pPr>
        <w:rPr>
          <w:rFonts w:ascii="Arial" w:eastAsia="Times New Roman" w:hAnsi="Arial" w:cs="Arial"/>
          <w:b/>
          <w:bCs/>
          <w:i/>
          <w:kern w:val="36"/>
          <w:sz w:val="16"/>
          <w:szCs w:val="16"/>
          <w:lang w:eastAsia="de-DE"/>
        </w:rPr>
      </w:pPr>
      <w:r w:rsidRPr="00D132DE">
        <w:rPr>
          <w:rFonts w:ascii="Arial" w:eastAsia="Times New Roman" w:hAnsi="Arial" w:cs="Arial"/>
          <w:b/>
          <w:bCs/>
          <w:i/>
          <w:kern w:val="36"/>
          <w:sz w:val="16"/>
          <w:szCs w:val="16"/>
          <w:lang w:eastAsia="de-DE"/>
        </w:rPr>
        <w:t>§ 777 Bürgschaft auf Zeit</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(1) Hat sich der Bürge für eine bestehende Verbindlichkeit auf bestimmte Zeit verbürgt, so wird er nach dem Ablauf der bestimmten Zeit frei, wenn nicht der Gläubiger die Einziehung der Forderung unverzüglich nach Maßgabe des § 772 betreibt, das Verfahren ohne wesentliche Verzögerung fortsetzt und unverzüglich nach der Beendigung des Verfahrens dem Bürgen anzeigt, dass er ihn in Anspruch nehme. Steht dem Bürgen die Einrede der Vorausklage nicht zu, so wird er nach dem Ablauf der bestimmten Zeit frei, wenn nicht der Gläubiger ihm unverzüglich diese Anzeige macht.</w:t>
      </w:r>
    </w:p>
    <w:p w:rsidR="00EA57B9" w:rsidRPr="00D132DE"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(2) Erfolgt die Anzeige rechtzeitig, so beschränkt sich die Haftung des Bürgen im Falle des Absatzes 1 Satz 1 auf den Umfang, den die Hauptverbindlichkeit zur Zeit der Beendigung des Verfahrens hat, im Falle des Absatzes 1 Satz 2 auf den Umfang, den die Hauptverbindlichkeit bei dem Ablauf der bestimmten Zeit hat.</w:t>
      </w:r>
    </w:p>
    <w:p w:rsidR="00EA57B9" w:rsidRPr="00D132DE" w:rsidRDefault="00EA57B9" w:rsidP="00EA57B9">
      <w:pPr>
        <w:rPr>
          <w:rFonts w:ascii="Arial" w:hAnsi="Arial" w:cs="Arial"/>
          <w:i/>
          <w:sz w:val="16"/>
          <w:szCs w:val="16"/>
        </w:rPr>
      </w:pPr>
    </w:p>
    <w:p w:rsidR="00EA57B9" w:rsidRPr="00D132DE" w:rsidRDefault="00EA57B9" w:rsidP="00EA57B9">
      <w:pPr>
        <w:rPr>
          <w:rFonts w:ascii="Arial" w:eastAsia="Times New Roman" w:hAnsi="Arial" w:cs="Arial"/>
          <w:b/>
          <w:bCs/>
          <w:i/>
          <w:kern w:val="36"/>
          <w:sz w:val="16"/>
          <w:szCs w:val="16"/>
          <w:lang w:eastAsia="de-DE"/>
        </w:rPr>
      </w:pPr>
      <w:r w:rsidRPr="00D132DE">
        <w:rPr>
          <w:rFonts w:ascii="Arial" w:eastAsia="Times New Roman" w:hAnsi="Arial" w:cs="Arial"/>
          <w:b/>
          <w:bCs/>
          <w:i/>
          <w:kern w:val="36"/>
          <w:sz w:val="16"/>
          <w:szCs w:val="16"/>
          <w:lang w:eastAsia="de-DE"/>
        </w:rPr>
        <w:t>§ 778 Kreditauftrag</w:t>
      </w:r>
    </w:p>
    <w:p w:rsidR="00EA57B9" w:rsidRDefault="00EA57B9" w:rsidP="00EA57B9">
      <w:pPr>
        <w:rPr>
          <w:rFonts w:ascii="Arial" w:eastAsia="Times New Roman" w:hAnsi="Arial" w:cs="Arial"/>
          <w:i/>
          <w:sz w:val="16"/>
          <w:szCs w:val="16"/>
          <w:lang w:eastAsia="de-DE"/>
        </w:rPr>
      </w:pPr>
      <w:r w:rsidRPr="00D132DE">
        <w:rPr>
          <w:rFonts w:ascii="Arial" w:eastAsia="Times New Roman" w:hAnsi="Arial" w:cs="Arial"/>
          <w:i/>
          <w:sz w:val="16"/>
          <w:szCs w:val="16"/>
          <w:lang w:eastAsia="de-DE"/>
        </w:rPr>
        <w:t>Wer einen anderen beauftragt, im eigenen Namen und auf eigene Rechnung einem Dritten ein Darlehen oder eine Finanzierungshilfe zu gewähren, haftet dem Beauftragten für die aus dem Darlehen oder der Finanzierungshilfe entstehende Verbindlichkeit des Dritten als Bürge.</w:t>
      </w:r>
    </w:p>
    <w:p w:rsidR="00641493" w:rsidRPr="00D132DE" w:rsidRDefault="00641493" w:rsidP="00EA57B9">
      <w:pPr>
        <w:rPr>
          <w:rFonts w:ascii="Arial" w:eastAsia="Times New Roman" w:hAnsi="Arial" w:cs="Arial"/>
          <w:i/>
          <w:sz w:val="16"/>
          <w:szCs w:val="16"/>
          <w:lang w:eastAsia="de-DE"/>
        </w:rPr>
      </w:pPr>
    </w:p>
    <w:p w:rsidR="00EA57B9" w:rsidRPr="007500B4" w:rsidRDefault="007500B4" w:rsidP="00EA57B9">
      <w:pPr>
        <w:rPr>
          <w:sz w:val="16"/>
        </w:rPr>
      </w:pPr>
      <w:r w:rsidRPr="007500B4">
        <w:rPr>
          <w:color w:val="000000" w:themeColor="text1"/>
          <w:sz w:val="16"/>
        </w:rPr>
        <w:t xml:space="preserve">Zur Verfügung gestellt von </w:t>
      </w:r>
      <w:hyperlink r:id="rId5" w:history="1">
        <w:r w:rsidRPr="007500B4">
          <w:rPr>
            <w:rStyle w:val="Hyperlink"/>
            <w:color w:val="000000" w:themeColor="text1"/>
            <w:sz w:val="16"/>
          </w:rPr>
          <w:t>www.wbs-wohnung.de/elternbuergschaft</w:t>
        </w:r>
      </w:hyperlink>
      <w:r>
        <w:rPr>
          <w:color w:val="000000" w:themeColor="text1"/>
          <w:sz w:val="16"/>
        </w:rPr>
        <w:t>. Für Richtigkeit oder Aktualität kann keine Haftung oder Gewähr übernommen werden.</w:t>
      </w:r>
      <w:r w:rsidR="00076BC7">
        <w:rPr>
          <w:color w:val="000000" w:themeColor="text1"/>
          <w:sz w:val="16"/>
        </w:rPr>
        <w:t xml:space="preserve"> </w:t>
      </w:r>
    </w:p>
    <w:p w:rsidR="007500B4" w:rsidRPr="00EA57B9" w:rsidRDefault="007500B4" w:rsidP="00EA57B9"/>
    <w:sectPr w:rsidR="007500B4" w:rsidRPr="00EA57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7410B"/>
    <w:multiLevelType w:val="hybridMultilevel"/>
    <w:tmpl w:val="1CE85D50"/>
    <w:lvl w:ilvl="0" w:tplc="0407000D">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7AA2969"/>
    <w:multiLevelType w:val="hybridMultilevel"/>
    <w:tmpl w:val="EAD8EB6C"/>
    <w:lvl w:ilvl="0" w:tplc="C896D0EE">
      <w:start w:val="1"/>
      <w:numFmt w:val="decimal"/>
      <w:lvlText w:val="%1."/>
      <w:lvlJc w:val="left"/>
      <w:pPr>
        <w:ind w:left="840" w:hanging="48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03"/>
    <w:rsid w:val="00055AB6"/>
    <w:rsid w:val="00076BC7"/>
    <w:rsid w:val="001054B5"/>
    <w:rsid w:val="00187B47"/>
    <w:rsid w:val="001A559C"/>
    <w:rsid w:val="00216689"/>
    <w:rsid w:val="002E4E8E"/>
    <w:rsid w:val="002E5360"/>
    <w:rsid w:val="00393328"/>
    <w:rsid w:val="00406603"/>
    <w:rsid w:val="00447FD6"/>
    <w:rsid w:val="004833E3"/>
    <w:rsid w:val="005E6535"/>
    <w:rsid w:val="005F66F4"/>
    <w:rsid w:val="006334DD"/>
    <w:rsid w:val="00641493"/>
    <w:rsid w:val="007500B4"/>
    <w:rsid w:val="007A6068"/>
    <w:rsid w:val="00941175"/>
    <w:rsid w:val="00975F4C"/>
    <w:rsid w:val="00990313"/>
    <w:rsid w:val="00A10C9A"/>
    <w:rsid w:val="00C91374"/>
    <w:rsid w:val="00CB655E"/>
    <w:rsid w:val="00D132DE"/>
    <w:rsid w:val="00D744C1"/>
    <w:rsid w:val="00EA57B9"/>
    <w:rsid w:val="00EF1F2C"/>
    <w:rsid w:val="00F555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88821-4F88-4A1A-B26A-FF6A9DCE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0C9A"/>
    <w:pPr>
      <w:spacing w:after="200" w:line="276" w:lineRule="auto"/>
    </w:pPr>
    <w:rPr>
      <w:rFonts w:ascii="Calibri" w:eastAsia="Calibri" w:hAnsi="Calibri" w:cs="Times New Roman"/>
    </w:rPr>
  </w:style>
  <w:style w:type="paragraph" w:styleId="berschrift1">
    <w:name w:val="heading 1"/>
    <w:basedOn w:val="Standard"/>
    <w:link w:val="berschrift1Zchn"/>
    <w:uiPriority w:val="9"/>
    <w:qFormat/>
    <w:rsid w:val="00EA57B9"/>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10C9A"/>
    <w:pPr>
      <w:spacing w:after="0" w:line="240" w:lineRule="auto"/>
    </w:pPr>
    <w:rPr>
      <w:rFonts w:ascii="Calibri" w:eastAsia="Calibri" w:hAnsi="Calibri" w:cs="Times New Roman"/>
    </w:rPr>
  </w:style>
  <w:style w:type="paragraph" w:styleId="Listenabsatz">
    <w:name w:val="List Paragraph"/>
    <w:basedOn w:val="Standard"/>
    <w:uiPriority w:val="34"/>
    <w:qFormat/>
    <w:rsid w:val="00A10C9A"/>
    <w:pPr>
      <w:ind w:left="720"/>
      <w:contextualSpacing/>
    </w:pPr>
  </w:style>
  <w:style w:type="table" w:styleId="EinfacheTabelle2">
    <w:name w:val="Plain Table 2"/>
    <w:basedOn w:val="NormaleTabelle"/>
    <w:uiPriority w:val="42"/>
    <w:rsid w:val="00A10C9A"/>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erschrift1Zchn">
    <w:name w:val="Überschrift 1 Zchn"/>
    <w:basedOn w:val="Absatz-Standardschriftart"/>
    <w:link w:val="berschrift1"/>
    <w:uiPriority w:val="9"/>
    <w:rsid w:val="00EA57B9"/>
    <w:rPr>
      <w:rFonts w:ascii="Times New Roman" w:eastAsia="Times New Roman" w:hAnsi="Times New Roman" w:cs="Times New Roman"/>
      <w:b/>
      <w:bCs/>
      <w:kern w:val="36"/>
      <w:sz w:val="48"/>
      <w:szCs w:val="48"/>
      <w:lang w:eastAsia="de-DE"/>
    </w:rPr>
  </w:style>
  <w:style w:type="character" w:customStyle="1" w:styleId="jnenbez">
    <w:name w:val="jnenbez"/>
    <w:basedOn w:val="Absatz-Standardschriftart"/>
    <w:rsid w:val="00EA57B9"/>
  </w:style>
  <w:style w:type="character" w:customStyle="1" w:styleId="jnentitel">
    <w:name w:val="jnentitel"/>
    <w:basedOn w:val="Absatz-Standardschriftart"/>
    <w:rsid w:val="00EA57B9"/>
  </w:style>
  <w:style w:type="character" w:styleId="Hyperlink">
    <w:name w:val="Hyperlink"/>
    <w:basedOn w:val="Absatz-Standardschriftart"/>
    <w:uiPriority w:val="99"/>
    <w:unhideWhenUsed/>
    <w:rsid w:val="007500B4"/>
    <w:rPr>
      <w:color w:val="0563C1" w:themeColor="hyperlink"/>
      <w:u w:val="single"/>
    </w:rPr>
  </w:style>
  <w:style w:type="character" w:styleId="BesuchterHyperlink">
    <w:name w:val="FollowedHyperlink"/>
    <w:basedOn w:val="Absatz-Standardschriftart"/>
    <w:uiPriority w:val="99"/>
    <w:semiHidden/>
    <w:unhideWhenUsed/>
    <w:rsid w:val="003933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9447">
      <w:bodyDiv w:val="1"/>
      <w:marLeft w:val="0"/>
      <w:marRight w:val="0"/>
      <w:marTop w:val="0"/>
      <w:marBottom w:val="0"/>
      <w:divBdr>
        <w:top w:val="none" w:sz="0" w:space="0" w:color="auto"/>
        <w:left w:val="none" w:sz="0" w:space="0" w:color="auto"/>
        <w:bottom w:val="none" w:sz="0" w:space="0" w:color="auto"/>
        <w:right w:val="none" w:sz="0" w:space="0" w:color="auto"/>
      </w:divBdr>
      <w:divsChild>
        <w:div w:id="1373579012">
          <w:marLeft w:val="0"/>
          <w:marRight w:val="0"/>
          <w:marTop w:val="0"/>
          <w:marBottom w:val="0"/>
          <w:divBdr>
            <w:top w:val="none" w:sz="0" w:space="0" w:color="auto"/>
            <w:left w:val="none" w:sz="0" w:space="0" w:color="auto"/>
            <w:bottom w:val="none" w:sz="0" w:space="0" w:color="auto"/>
            <w:right w:val="none" w:sz="0" w:space="0" w:color="auto"/>
          </w:divBdr>
        </w:div>
        <w:div w:id="744841416">
          <w:marLeft w:val="0"/>
          <w:marRight w:val="0"/>
          <w:marTop w:val="0"/>
          <w:marBottom w:val="0"/>
          <w:divBdr>
            <w:top w:val="none" w:sz="0" w:space="0" w:color="auto"/>
            <w:left w:val="none" w:sz="0" w:space="0" w:color="auto"/>
            <w:bottom w:val="none" w:sz="0" w:space="0" w:color="auto"/>
            <w:right w:val="none" w:sz="0" w:space="0" w:color="auto"/>
          </w:divBdr>
          <w:divsChild>
            <w:div w:id="2069528302">
              <w:marLeft w:val="0"/>
              <w:marRight w:val="0"/>
              <w:marTop w:val="0"/>
              <w:marBottom w:val="0"/>
              <w:divBdr>
                <w:top w:val="none" w:sz="0" w:space="0" w:color="auto"/>
                <w:left w:val="none" w:sz="0" w:space="0" w:color="auto"/>
                <w:bottom w:val="none" w:sz="0" w:space="0" w:color="auto"/>
                <w:right w:val="none" w:sz="0" w:space="0" w:color="auto"/>
              </w:divBdr>
              <w:divsChild>
                <w:div w:id="1910580183">
                  <w:marLeft w:val="0"/>
                  <w:marRight w:val="0"/>
                  <w:marTop w:val="0"/>
                  <w:marBottom w:val="0"/>
                  <w:divBdr>
                    <w:top w:val="none" w:sz="0" w:space="0" w:color="auto"/>
                    <w:left w:val="none" w:sz="0" w:space="0" w:color="auto"/>
                    <w:bottom w:val="none" w:sz="0" w:space="0" w:color="auto"/>
                    <w:right w:val="none" w:sz="0" w:space="0" w:color="auto"/>
                  </w:divBdr>
                  <w:divsChild>
                    <w:div w:id="1998875536">
                      <w:marLeft w:val="0"/>
                      <w:marRight w:val="0"/>
                      <w:marTop w:val="0"/>
                      <w:marBottom w:val="0"/>
                      <w:divBdr>
                        <w:top w:val="none" w:sz="0" w:space="0" w:color="auto"/>
                        <w:left w:val="none" w:sz="0" w:space="0" w:color="auto"/>
                        <w:bottom w:val="none" w:sz="0" w:space="0" w:color="auto"/>
                        <w:right w:val="none" w:sz="0" w:space="0" w:color="auto"/>
                      </w:divBdr>
                      <w:divsChild>
                        <w:div w:id="1276522022">
                          <w:marLeft w:val="0"/>
                          <w:marRight w:val="0"/>
                          <w:marTop w:val="0"/>
                          <w:marBottom w:val="0"/>
                          <w:divBdr>
                            <w:top w:val="none" w:sz="0" w:space="0" w:color="auto"/>
                            <w:left w:val="none" w:sz="0" w:space="0" w:color="auto"/>
                            <w:bottom w:val="none" w:sz="0" w:space="0" w:color="auto"/>
                            <w:right w:val="none" w:sz="0" w:space="0" w:color="auto"/>
                          </w:divBdr>
                        </w:div>
                        <w:div w:id="109857817">
                          <w:marLeft w:val="0"/>
                          <w:marRight w:val="0"/>
                          <w:marTop w:val="0"/>
                          <w:marBottom w:val="0"/>
                          <w:divBdr>
                            <w:top w:val="none" w:sz="0" w:space="0" w:color="auto"/>
                            <w:left w:val="none" w:sz="0" w:space="0" w:color="auto"/>
                            <w:bottom w:val="none" w:sz="0" w:space="0" w:color="auto"/>
                            <w:right w:val="none" w:sz="0" w:space="0" w:color="auto"/>
                          </w:divBdr>
                        </w:div>
                        <w:div w:id="110511591">
                          <w:marLeft w:val="0"/>
                          <w:marRight w:val="0"/>
                          <w:marTop w:val="0"/>
                          <w:marBottom w:val="0"/>
                          <w:divBdr>
                            <w:top w:val="none" w:sz="0" w:space="0" w:color="auto"/>
                            <w:left w:val="none" w:sz="0" w:space="0" w:color="auto"/>
                            <w:bottom w:val="none" w:sz="0" w:space="0" w:color="auto"/>
                            <w:right w:val="none" w:sz="0" w:space="0" w:color="auto"/>
                          </w:divBdr>
                        </w:div>
                        <w:div w:id="992837167">
                          <w:marLeft w:val="0"/>
                          <w:marRight w:val="0"/>
                          <w:marTop w:val="0"/>
                          <w:marBottom w:val="0"/>
                          <w:divBdr>
                            <w:top w:val="none" w:sz="0" w:space="0" w:color="auto"/>
                            <w:left w:val="none" w:sz="0" w:space="0" w:color="auto"/>
                            <w:bottom w:val="none" w:sz="0" w:space="0" w:color="auto"/>
                            <w:right w:val="none" w:sz="0" w:space="0" w:color="auto"/>
                          </w:divBdr>
                        </w:div>
                      </w:divsChild>
                    </w:div>
                    <w:div w:id="6446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437017">
      <w:bodyDiv w:val="1"/>
      <w:marLeft w:val="0"/>
      <w:marRight w:val="0"/>
      <w:marTop w:val="0"/>
      <w:marBottom w:val="0"/>
      <w:divBdr>
        <w:top w:val="none" w:sz="0" w:space="0" w:color="auto"/>
        <w:left w:val="none" w:sz="0" w:space="0" w:color="auto"/>
        <w:bottom w:val="none" w:sz="0" w:space="0" w:color="auto"/>
        <w:right w:val="none" w:sz="0" w:space="0" w:color="auto"/>
      </w:divBdr>
      <w:divsChild>
        <w:div w:id="1119378964">
          <w:marLeft w:val="0"/>
          <w:marRight w:val="0"/>
          <w:marTop w:val="0"/>
          <w:marBottom w:val="0"/>
          <w:divBdr>
            <w:top w:val="none" w:sz="0" w:space="0" w:color="auto"/>
            <w:left w:val="none" w:sz="0" w:space="0" w:color="auto"/>
            <w:bottom w:val="none" w:sz="0" w:space="0" w:color="auto"/>
            <w:right w:val="none" w:sz="0" w:space="0" w:color="auto"/>
          </w:divBdr>
        </w:div>
        <w:div w:id="289822069">
          <w:marLeft w:val="0"/>
          <w:marRight w:val="0"/>
          <w:marTop w:val="0"/>
          <w:marBottom w:val="0"/>
          <w:divBdr>
            <w:top w:val="none" w:sz="0" w:space="0" w:color="auto"/>
            <w:left w:val="none" w:sz="0" w:space="0" w:color="auto"/>
            <w:bottom w:val="none" w:sz="0" w:space="0" w:color="auto"/>
            <w:right w:val="none" w:sz="0" w:space="0" w:color="auto"/>
          </w:divBdr>
          <w:divsChild>
            <w:div w:id="1511137796">
              <w:marLeft w:val="0"/>
              <w:marRight w:val="0"/>
              <w:marTop w:val="0"/>
              <w:marBottom w:val="0"/>
              <w:divBdr>
                <w:top w:val="none" w:sz="0" w:space="0" w:color="auto"/>
                <w:left w:val="none" w:sz="0" w:space="0" w:color="auto"/>
                <w:bottom w:val="none" w:sz="0" w:space="0" w:color="auto"/>
                <w:right w:val="none" w:sz="0" w:space="0" w:color="auto"/>
              </w:divBdr>
              <w:divsChild>
                <w:div w:id="1837304338">
                  <w:marLeft w:val="0"/>
                  <w:marRight w:val="0"/>
                  <w:marTop w:val="0"/>
                  <w:marBottom w:val="0"/>
                  <w:divBdr>
                    <w:top w:val="none" w:sz="0" w:space="0" w:color="auto"/>
                    <w:left w:val="none" w:sz="0" w:space="0" w:color="auto"/>
                    <w:bottom w:val="none" w:sz="0" w:space="0" w:color="auto"/>
                    <w:right w:val="none" w:sz="0" w:space="0" w:color="auto"/>
                  </w:divBdr>
                  <w:divsChild>
                    <w:div w:id="14244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11776">
      <w:bodyDiv w:val="1"/>
      <w:marLeft w:val="0"/>
      <w:marRight w:val="0"/>
      <w:marTop w:val="0"/>
      <w:marBottom w:val="0"/>
      <w:divBdr>
        <w:top w:val="none" w:sz="0" w:space="0" w:color="auto"/>
        <w:left w:val="none" w:sz="0" w:space="0" w:color="auto"/>
        <w:bottom w:val="none" w:sz="0" w:space="0" w:color="auto"/>
        <w:right w:val="none" w:sz="0" w:space="0" w:color="auto"/>
      </w:divBdr>
      <w:divsChild>
        <w:div w:id="1709988448">
          <w:marLeft w:val="0"/>
          <w:marRight w:val="0"/>
          <w:marTop w:val="0"/>
          <w:marBottom w:val="0"/>
          <w:divBdr>
            <w:top w:val="none" w:sz="0" w:space="0" w:color="auto"/>
            <w:left w:val="none" w:sz="0" w:space="0" w:color="auto"/>
            <w:bottom w:val="none" w:sz="0" w:space="0" w:color="auto"/>
            <w:right w:val="none" w:sz="0" w:space="0" w:color="auto"/>
          </w:divBdr>
        </w:div>
        <w:div w:id="1318650658">
          <w:marLeft w:val="0"/>
          <w:marRight w:val="0"/>
          <w:marTop w:val="0"/>
          <w:marBottom w:val="0"/>
          <w:divBdr>
            <w:top w:val="none" w:sz="0" w:space="0" w:color="auto"/>
            <w:left w:val="none" w:sz="0" w:space="0" w:color="auto"/>
            <w:bottom w:val="none" w:sz="0" w:space="0" w:color="auto"/>
            <w:right w:val="none" w:sz="0" w:space="0" w:color="auto"/>
          </w:divBdr>
          <w:divsChild>
            <w:div w:id="1762991485">
              <w:marLeft w:val="0"/>
              <w:marRight w:val="0"/>
              <w:marTop w:val="0"/>
              <w:marBottom w:val="0"/>
              <w:divBdr>
                <w:top w:val="none" w:sz="0" w:space="0" w:color="auto"/>
                <w:left w:val="none" w:sz="0" w:space="0" w:color="auto"/>
                <w:bottom w:val="none" w:sz="0" w:space="0" w:color="auto"/>
                <w:right w:val="none" w:sz="0" w:space="0" w:color="auto"/>
              </w:divBdr>
              <w:divsChild>
                <w:div w:id="508182762">
                  <w:marLeft w:val="0"/>
                  <w:marRight w:val="0"/>
                  <w:marTop w:val="0"/>
                  <w:marBottom w:val="0"/>
                  <w:divBdr>
                    <w:top w:val="none" w:sz="0" w:space="0" w:color="auto"/>
                    <w:left w:val="none" w:sz="0" w:space="0" w:color="auto"/>
                    <w:bottom w:val="none" w:sz="0" w:space="0" w:color="auto"/>
                    <w:right w:val="none" w:sz="0" w:space="0" w:color="auto"/>
                  </w:divBdr>
                  <w:divsChild>
                    <w:div w:id="1156648605">
                      <w:marLeft w:val="0"/>
                      <w:marRight w:val="0"/>
                      <w:marTop w:val="0"/>
                      <w:marBottom w:val="0"/>
                      <w:divBdr>
                        <w:top w:val="none" w:sz="0" w:space="0" w:color="auto"/>
                        <w:left w:val="none" w:sz="0" w:space="0" w:color="auto"/>
                        <w:bottom w:val="none" w:sz="0" w:space="0" w:color="auto"/>
                        <w:right w:val="none" w:sz="0" w:space="0" w:color="auto"/>
                      </w:divBdr>
                    </w:div>
                    <w:div w:id="4440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061550">
      <w:bodyDiv w:val="1"/>
      <w:marLeft w:val="0"/>
      <w:marRight w:val="0"/>
      <w:marTop w:val="0"/>
      <w:marBottom w:val="0"/>
      <w:divBdr>
        <w:top w:val="none" w:sz="0" w:space="0" w:color="auto"/>
        <w:left w:val="none" w:sz="0" w:space="0" w:color="auto"/>
        <w:bottom w:val="none" w:sz="0" w:space="0" w:color="auto"/>
        <w:right w:val="none" w:sz="0" w:space="0" w:color="auto"/>
      </w:divBdr>
      <w:divsChild>
        <w:div w:id="2050521492">
          <w:marLeft w:val="0"/>
          <w:marRight w:val="0"/>
          <w:marTop w:val="0"/>
          <w:marBottom w:val="0"/>
          <w:divBdr>
            <w:top w:val="none" w:sz="0" w:space="0" w:color="auto"/>
            <w:left w:val="none" w:sz="0" w:space="0" w:color="auto"/>
            <w:bottom w:val="none" w:sz="0" w:space="0" w:color="auto"/>
            <w:right w:val="none" w:sz="0" w:space="0" w:color="auto"/>
          </w:divBdr>
        </w:div>
        <w:div w:id="172494753">
          <w:marLeft w:val="0"/>
          <w:marRight w:val="0"/>
          <w:marTop w:val="0"/>
          <w:marBottom w:val="0"/>
          <w:divBdr>
            <w:top w:val="none" w:sz="0" w:space="0" w:color="auto"/>
            <w:left w:val="none" w:sz="0" w:space="0" w:color="auto"/>
            <w:bottom w:val="none" w:sz="0" w:space="0" w:color="auto"/>
            <w:right w:val="none" w:sz="0" w:space="0" w:color="auto"/>
          </w:divBdr>
          <w:divsChild>
            <w:div w:id="263465040">
              <w:marLeft w:val="0"/>
              <w:marRight w:val="0"/>
              <w:marTop w:val="0"/>
              <w:marBottom w:val="0"/>
              <w:divBdr>
                <w:top w:val="none" w:sz="0" w:space="0" w:color="auto"/>
                <w:left w:val="none" w:sz="0" w:space="0" w:color="auto"/>
                <w:bottom w:val="none" w:sz="0" w:space="0" w:color="auto"/>
                <w:right w:val="none" w:sz="0" w:space="0" w:color="auto"/>
              </w:divBdr>
              <w:divsChild>
                <w:div w:id="592669293">
                  <w:marLeft w:val="0"/>
                  <w:marRight w:val="0"/>
                  <w:marTop w:val="0"/>
                  <w:marBottom w:val="0"/>
                  <w:divBdr>
                    <w:top w:val="none" w:sz="0" w:space="0" w:color="auto"/>
                    <w:left w:val="none" w:sz="0" w:space="0" w:color="auto"/>
                    <w:bottom w:val="none" w:sz="0" w:space="0" w:color="auto"/>
                    <w:right w:val="none" w:sz="0" w:space="0" w:color="auto"/>
                  </w:divBdr>
                  <w:divsChild>
                    <w:div w:id="2132361954">
                      <w:marLeft w:val="0"/>
                      <w:marRight w:val="0"/>
                      <w:marTop w:val="0"/>
                      <w:marBottom w:val="0"/>
                      <w:divBdr>
                        <w:top w:val="none" w:sz="0" w:space="0" w:color="auto"/>
                        <w:left w:val="none" w:sz="0" w:space="0" w:color="auto"/>
                        <w:bottom w:val="none" w:sz="0" w:space="0" w:color="auto"/>
                        <w:right w:val="none" w:sz="0" w:space="0" w:color="auto"/>
                      </w:divBdr>
                      <w:divsChild>
                        <w:div w:id="1223172411">
                          <w:marLeft w:val="0"/>
                          <w:marRight w:val="0"/>
                          <w:marTop w:val="0"/>
                          <w:marBottom w:val="0"/>
                          <w:divBdr>
                            <w:top w:val="none" w:sz="0" w:space="0" w:color="auto"/>
                            <w:left w:val="none" w:sz="0" w:space="0" w:color="auto"/>
                            <w:bottom w:val="none" w:sz="0" w:space="0" w:color="auto"/>
                            <w:right w:val="none" w:sz="0" w:space="0" w:color="auto"/>
                          </w:divBdr>
                        </w:div>
                        <w:div w:id="1450315935">
                          <w:marLeft w:val="0"/>
                          <w:marRight w:val="0"/>
                          <w:marTop w:val="0"/>
                          <w:marBottom w:val="0"/>
                          <w:divBdr>
                            <w:top w:val="none" w:sz="0" w:space="0" w:color="auto"/>
                            <w:left w:val="none" w:sz="0" w:space="0" w:color="auto"/>
                            <w:bottom w:val="none" w:sz="0" w:space="0" w:color="auto"/>
                            <w:right w:val="none" w:sz="0" w:space="0" w:color="auto"/>
                          </w:divBdr>
                        </w:div>
                        <w:div w:id="945117250">
                          <w:marLeft w:val="0"/>
                          <w:marRight w:val="0"/>
                          <w:marTop w:val="0"/>
                          <w:marBottom w:val="0"/>
                          <w:divBdr>
                            <w:top w:val="none" w:sz="0" w:space="0" w:color="auto"/>
                            <w:left w:val="none" w:sz="0" w:space="0" w:color="auto"/>
                            <w:bottom w:val="none" w:sz="0" w:space="0" w:color="auto"/>
                            <w:right w:val="none" w:sz="0" w:space="0" w:color="auto"/>
                          </w:divBdr>
                        </w:div>
                        <w:div w:id="2061050475">
                          <w:marLeft w:val="0"/>
                          <w:marRight w:val="0"/>
                          <w:marTop w:val="0"/>
                          <w:marBottom w:val="0"/>
                          <w:divBdr>
                            <w:top w:val="none" w:sz="0" w:space="0" w:color="auto"/>
                            <w:left w:val="none" w:sz="0" w:space="0" w:color="auto"/>
                            <w:bottom w:val="none" w:sz="0" w:space="0" w:color="auto"/>
                            <w:right w:val="none" w:sz="0" w:space="0" w:color="auto"/>
                          </w:divBdr>
                        </w:div>
                      </w:divsChild>
                    </w:div>
                    <w:div w:id="20606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6852">
      <w:bodyDiv w:val="1"/>
      <w:marLeft w:val="0"/>
      <w:marRight w:val="0"/>
      <w:marTop w:val="0"/>
      <w:marBottom w:val="0"/>
      <w:divBdr>
        <w:top w:val="none" w:sz="0" w:space="0" w:color="auto"/>
        <w:left w:val="none" w:sz="0" w:space="0" w:color="auto"/>
        <w:bottom w:val="none" w:sz="0" w:space="0" w:color="auto"/>
        <w:right w:val="none" w:sz="0" w:space="0" w:color="auto"/>
      </w:divBdr>
      <w:divsChild>
        <w:div w:id="1490291099">
          <w:marLeft w:val="0"/>
          <w:marRight w:val="0"/>
          <w:marTop w:val="0"/>
          <w:marBottom w:val="0"/>
          <w:divBdr>
            <w:top w:val="none" w:sz="0" w:space="0" w:color="auto"/>
            <w:left w:val="none" w:sz="0" w:space="0" w:color="auto"/>
            <w:bottom w:val="none" w:sz="0" w:space="0" w:color="auto"/>
            <w:right w:val="none" w:sz="0" w:space="0" w:color="auto"/>
          </w:divBdr>
        </w:div>
        <w:div w:id="2101288903">
          <w:marLeft w:val="0"/>
          <w:marRight w:val="0"/>
          <w:marTop w:val="0"/>
          <w:marBottom w:val="0"/>
          <w:divBdr>
            <w:top w:val="none" w:sz="0" w:space="0" w:color="auto"/>
            <w:left w:val="none" w:sz="0" w:space="0" w:color="auto"/>
            <w:bottom w:val="none" w:sz="0" w:space="0" w:color="auto"/>
            <w:right w:val="none" w:sz="0" w:space="0" w:color="auto"/>
          </w:divBdr>
          <w:divsChild>
            <w:div w:id="1190486803">
              <w:marLeft w:val="0"/>
              <w:marRight w:val="0"/>
              <w:marTop w:val="0"/>
              <w:marBottom w:val="0"/>
              <w:divBdr>
                <w:top w:val="none" w:sz="0" w:space="0" w:color="auto"/>
                <w:left w:val="none" w:sz="0" w:space="0" w:color="auto"/>
                <w:bottom w:val="none" w:sz="0" w:space="0" w:color="auto"/>
                <w:right w:val="none" w:sz="0" w:space="0" w:color="auto"/>
              </w:divBdr>
              <w:divsChild>
                <w:div w:id="1991522543">
                  <w:marLeft w:val="0"/>
                  <w:marRight w:val="0"/>
                  <w:marTop w:val="0"/>
                  <w:marBottom w:val="0"/>
                  <w:divBdr>
                    <w:top w:val="none" w:sz="0" w:space="0" w:color="auto"/>
                    <w:left w:val="none" w:sz="0" w:space="0" w:color="auto"/>
                    <w:bottom w:val="none" w:sz="0" w:space="0" w:color="auto"/>
                    <w:right w:val="none" w:sz="0" w:space="0" w:color="auto"/>
                  </w:divBdr>
                  <w:divsChild>
                    <w:div w:id="166602857">
                      <w:marLeft w:val="0"/>
                      <w:marRight w:val="0"/>
                      <w:marTop w:val="0"/>
                      <w:marBottom w:val="0"/>
                      <w:divBdr>
                        <w:top w:val="none" w:sz="0" w:space="0" w:color="auto"/>
                        <w:left w:val="none" w:sz="0" w:space="0" w:color="auto"/>
                        <w:bottom w:val="none" w:sz="0" w:space="0" w:color="auto"/>
                        <w:right w:val="none" w:sz="0" w:space="0" w:color="auto"/>
                      </w:divBdr>
                    </w:div>
                    <w:div w:id="15513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8989">
      <w:bodyDiv w:val="1"/>
      <w:marLeft w:val="0"/>
      <w:marRight w:val="0"/>
      <w:marTop w:val="0"/>
      <w:marBottom w:val="0"/>
      <w:divBdr>
        <w:top w:val="none" w:sz="0" w:space="0" w:color="auto"/>
        <w:left w:val="none" w:sz="0" w:space="0" w:color="auto"/>
        <w:bottom w:val="none" w:sz="0" w:space="0" w:color="auto"/>
        <w:right w:val="none" w:sz="0" w:space="0" w:color="auto"/>
      </w:divBdr>
      <w:divsChild>
        <w:div w:id="1961837988">
          <w:marLeft w:val="0"/>
          <w:marRight w:val="0"/>
          <w:marTop w:val="0"/>
          <w:marBottom w:val="0"/>
          <w:divBdr>
            <w:top w:val="none" w:sz="0" w:space="0" w:color="auto"/>
            <w:left w:val="none" w:sz="0" w:space="0" w:color="auto"/>
            <w:bottom w:val="none" w:sz="0" w:space="0" w:color="auto"/>
            <w:right w:val="none" w:sz="0" w:space="0" w:color="auto"/>
          </w:divBdr>
        </w:div>
        <w:div w:id="1042562207">
          <w:marLeft w:val="0"/>
          <w:marRight w:val="0"/>
          <w:marTop w:val="0"/>
          <w:marBottom w:val="0"/>
          <w:divBdr>
            <w:top w:val="none" w:sz="0" w:space="0" w:color="auto"/>
            <w:left w:val="none" w:sz="0" w:space="0" w:color="auto"/>
            <w:bottom w:val="none" w:sz="0" w:space="0" w:color="auto"/>
            <w:right w:val="none" w:sz="0" w:space="0" w:color="auto"/>
          </w:divBdr>
          <w:divsChild>
            <w:div w:id="335693577">
              <w:marLeft w:val="0"/>
              <w:marRight w:val="0"/>
              <w:marTop w:val="0"/>
              <w:marBottom w:val="0"/>
              <w:divBdr>
                <w:top w:val="none" w:sz="0" w:space="0" w:color="auto"/>
                <w:left w:val="none" w:sz="0" w:space="0" w:color="auto"/>
                <w:bottom w:val="none" w:sz="0" w:space="0" w:color="auto"/>
                <w:right w:val="none" w:sz="0" w:space="0" w:color="auto"/>
              </w:divBdr>
              <w:divsChild>
                <w:div w:id="845753848">
                  <w:marLeft w:val="0"/>
                  <w:marRight w:val="0"/>
                  <w:marTop w:val="0"/>
                  <w:marBottom w:val="0"/>
                  <w:divBdr>
                    <w:top w:val="none" w:sz="0" w:space="0" w:color="auto"/>
                    <w:left w:val="none" w:sz="0" w:space="0" w:color="auto"/>
                    <w:bottom w:val="none" w:sz="0" w:space="0" w:color="auto"/>
                    <w:right w:val="none" w:sz="0" w:space="0" w:color="auto"/>
                  </w:divBdr>
                  <w:divsChild>
                    <w:div w:id="8793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663510">
      <w:bodyDiv w:val="1"/>
      <w:marLeft w:val="0"/>
      <w:marRight w:val="0"/>
      <w:marTop w:val="0"/>
      <w:marBottom w:val="0"/>
      <w:divBdr>
        <w:top w:val="none" w:sz="0" w:space="0" w:color="auto"/>
        <w:left w:val="none" w:sz="0" w:space="0" w:color="auto"/>
        <w:bottom w:val="none" w:sz="0" w:space="0" w:color="auto"/>
        <w:right w:val="none" w:sz="0" w:space="0" w:color="auto"/>
      </w:divBdr>
      <w:divsChild>
        <w:div w:id="1339044199">
          <w:marLeft w:val="0"/>
          <w:marRight w:val="0"/>
          <w:marTop w:val="0"/>
          <w:marBottom w:val="0"/>
          <w:divBdr>
            <w:top w:val="none" w:sz="0" w:space="0" w:color="auto"/>
            <w:left w:val="none" w:sz="0" w:space="0" w:color="auto"/>
            <w:bottom w:val="none" w:sz="0" w:space="0" w:color="auto"/>
            <w:right w:val="none" w:sz="0" w:space="0" w:color="auto"/>
          </w:divBdr>
        </w:div>
        <w:div w:id="1038044717">
          <w:marLeft w:val="0"/>
          <w:marRight w:val="0"/>
          <w:marTop w:val="0"/>
          <w:marBottom w:val="0"/>
          <w:divBdr>
            <w:top w:val="none" w:sz="0" w:space="0" w:color="auto"/>
            <w:left w:val="none" w:sz="0" w:space="0" w:color="auto"/>
            <w:bottom w:val="none" w:sz="0" w:space="0" w:color="auto"/>
            <w:right w:val="none" w:sz="0" w:space="0" w:color="auto"/>
          </w:divBdr>
          <w:divsChild>
            <w:div w:id="1501584462">
              <w:marLeft w:val="0"/>
              <w:marRight w:val="0"/>
              <w:marTop w:val="0"/>
              <w:marBottom w:val="0"/>
              <w:divBdr>
                <w:top w:val="none" w:sz="0" w:space="0" w:color="auto"/>
                <w:left w:val="none" w:sz="0" w:space="0" w:color="auto"/>
                <w:bottom w:val="none" w:sz="0" w:space="0" w:color="auto"/>
                <w:right w:val="none" w:sz="0" w:space="0" w:color="auto"/>
              </w:divBdr>
              <w:divsChild>
                <w:div w:id="1357197895">
                  <w:marLeft w:val="0"/>
                  <w:marRight w:val="0"/>
                  <w:marTop w:val="0"/>
                  <w:marBottom w:val="0"/>
                  <w:divBdr>
                    <w:top w:val="none" w:sz="0" w:space="0" w:color="auto"/>
                    <w:left w:val="none" w:sz="0" w:space="0" w:color="auto"/>
                    <w:bottom w:val="none" w:sz="0" w:space="0" w:color="auto"/>
                    <w:right w:val="none" w:sz="0" w:space="0" w:color="auto"/>
                  </w:divBdr>
                  <w:divsChild>
                    <w:div w:id="1540782636">
                      <w:marLeft w:val="0"/>
                      <w:marRight w:val="0"/>
                      <w:marTop w:val="0"/>
                      <w:marBottom w:val="0"/>
                      <w:divBdr>
                        <w:top w:val="none" w:sz="0" w:space="0" w:color="auto"/>
                        <w:left w:val="none" w:sz="0" w:space="0" w:color="auto"/>
                        <w:bottom w:val="none" w:sz="0" w:space="0" w:color="auto"/>
                        <w:right w:val="none" w:sz="0" w:space="0" w:color="auto"/>
                      </w:divBdr>
                    </w:div>
                    <w:div w:id="1768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3702">
      <w:bodyDiv w:val="1"/>
      <w:marLeft w:val="0"/>
      <w:marRight w:val="0"/>
      <w:marTop w:val="0"/>
      <w:marBottom w:val="0"/>
      <w:divBdr>
        <w:top w:val="none" w:sz="0" w:space="0" w:color="auto"/>
        <w:left w:val="none" w:sz="0" w:space="0" w:color="auto"/>
        <w:bottom w:val="none" w:sz="0" w:space="0" w:color="auto"/>
        <w:right w:val="none" w:sz="0" w:space="0" w:color="auto"/>
      </w:divBdr>
      <w:divsChild>
        <w:div w:id="554776063">
          <w:marLeft w:val="0"/>
          <w:marRight w:val="0"/>
          <w:marTop w:val="0"/>
          <w:marBottom w:val="0"/>
          <w:divBdr>
            <w:top w:val="none" w:sz="0" w:space="0" w:color="auto"/>
            <w:left w:val="none" w:sz="0" w:space="0" w:color="auto"/>
            <w:bottom w:val="none" w:sz="0" w:space="0" w:color="auto"/>
            <w:right w:val="none" w:sz="0" w:space="0" w:color="auto"/>
          </w:divBdr>
        </w:div>
        <w:div w:id="1818840978">
          <w:marLeft w:val="0"/>
          <w:marRight w:val="0"/>
          <w:marTop w:val="0"/>
          <w:marBottom w:val="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089156441">
                  <w:marLeft w:val="0"/>
                  <w:marRight w:val="0"/>
                  <w:marTop w:val="0"/>
                  <w:marBottom w:val="0"/>
                  <w:divBdr>
                    <w:top w:val="none" w:sz="0" w:space="0" w:color="auto"/>
                    <w:left w:val="none" w:sz="0" w:space="0" w:color="auto"/>
                    <w:bottom w:val="none" w:sz="0" w:space="0" w:color="auto"/>
                    <w:right w:val="none" w:sz="0" w:space="0" w:color="auto"/>
                  </w:divBdr>
                  <w:divsChild>
                    <w:div w:id="380835689">
                      <w:marLeft w:val="0"/>
                      <w:marRight w:val="0"/>
                      <w:marTop w:val="0"/>
                      <w:marBottom w:val="0"/>
                      <w:divBdr>
                        <w:top w:val="none" w:sz="0" w:space="0" w:color="auto"/>
                        <w:left w:val="none" w:sz="0" w:space="0" w:color="auto"/>
                        <w:bottom w:val="none" w:sz="0" w:space="0" w:color="auto"/>
                        <w:right w:val="none" w:sz="0" w:space="0" w:color="auto"/>
                      </w:divBdr>
                    </w:div>
                    <w:div w:id="8042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2145">
      <w:bodyDiv w:val="1"/>
      <w:marLeft w:val="0"/>
      <w:marRight w:val="0"/>
      <w:marTop w:val="0"/>
      <w:marBottom w:val="0"/>
      <w:divBdr>
        <w:top w:val="none" w:sz="0" w:space="0" w:color="auto"/>
        <w:left w:val="none" w:sz="0" w:space="0" w:color="auto"/>
        <w:bottom w:val="none" w:sz="0" w:space="0" w:color="auto"/>
        <w:right w:val="none" w:sz="0" w:space="0" w:color="auto"/>
      </w:divBdr>
      <w:divsChild>
        <w:div w:id="1486625654">
          <w:marLeft w:val="0"/>
          <w:marRight w:val="0"/>
          <w:marTop w:val="0"/>
          <w:marBottom w:val="0"/>
          <w:divBdr>
            <w:top w:val="none" w:sz="0" w:space="0" w:color="auto"/>
            <w:left w:val="none" w:sz="0" w:space="0" w:color="auto"/>
            <w:bottom w:val="none" w:sz="0" w:space="0" w:color="auto"/>
            <w:right w:val="none" w:sz="0" w:space="0" w:color="auto"/>
          </w:divBdr>
        </w:div>
        <w:div w:id="774204111">
          <w:marLeft w:val="0"/>
          <w:marRight w:val="0"/>
          <w:marTop w:val="0"/>
          <w:marBottom w:val="0"/>
          <w:divBdr>
            <w:top w:val="none" w:sz="0" w:space="0" w:color="auto"/>
            <w:left w:val="none" w:sz="0" w:space="0" w:color="auto"/>
            <w:bottom w:val="none" w:sz="0" w:space="0" w:color="auto"/>
            <w:right w:val="none" w:sz="0" w:space="0" w:color="auto"/>
          </w:divBdr>
          <w:divsChild>
            <w:div w:id="1629701760">
              <w:marLeft w:val="0"/>
              <w:marRight w:val="0"/>
              <w:marTop w:val="0"/>
              <w:marBottom w:val="0"/>
              <w:divBdr>
                <w:top w:val="none" w:sz="0" w:space="0" w:color="auto"/>
                <w:left w:val="none" w:sz="0" w:space="0" w:color="auto"/>
                <w:bottom w:val="none" w:sz="0" w:space="0" w:color="auto"/>
                <w:right w:val="none" w:sz="0" w:space="0" w:color="auto"/>
              </w:divBdr>
              <w:divsChild>
                <w:div w:id="2084208274">
                  <w:marLeft w:val="0"/>
                  <w:marRight w:val="0"/>
                  <w:marTop w:val="0"/>
                  <w:marBottom w:val="0"/>
                  <w:divBdr>
                    <w:top w:val="none" w:sz="0" w:space="0" w:color="auto"/>
                    <w:left w:val="none" w:sz="0" w:space="0" w:color="auto"/>
                    <w:bottom w:val="none" w:sz="0" w:space="0" w:color="auto"/>
                    <w:right w:val="none" w:sz="0" w:space="0" w:color="auto"/>
                  </w:divBdr>
                  <w:divsChild>
                    <w:div w:id="2122994248">
                      <w:marLeft w:val="0"/>
                      <w:marRight w:val="0"/>
                      <w:marTop w:val="0"/>
                      <w:marBottom w:val="0"/>
                      <w:divBdr>
                        <w:top w:val="none" w:sz="0" w:space="0" w:color="auto"/>
                        <w:left w:val="none" w:sz="0" w:space="0" w:color="auto"/>
                        <w:bottom w:val="none" w:sz="0" w:space="0" w:color="auto"/>
                        <w:right w:val="none" w:sz="0" w:space="0" w:color="auto"/>
                      </w:divBdr>
                    </w:div>
                    <w:div w:id="10271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59778">
      <w:bodyDiv w:val="1"/>
      <w:marLeft w:val="0"/>
      <w:marRight w:val="0"/>
      <w:marTop w:val="0"/>
      <w:marBottom w:val="0"/>
      <w:divBdr>
        <w:top w:val="none" w:sz="0" w:space="0" w:color="auto"/>
        <w:left w:val="none" w:sz="0" w:space="0" w:color="auto"/>
        <w:bottom w:val="none" w:sz="0" w:space="0" w:color="auto"/>
        <w:right w:val="none" w:sz="0" w:space="0" w:color="auto"/>
      </w:divBdr>
      <w:divsChild>
        <w:div w:id="1792892173">
          <w:marLeft w:val="0"/>
          <w:marRight w:val="0"/>
          <w:marTop w:val="0"/>
          <w:marBottom w:val="0"/>
          <w:divBdr>
            <w:top w:val="none" w:sz="0" w:space="0" w:color="auto"/>
            <w:left w:val="none" w:sz="0" w:space="0" w:color="auto"/>
            <w:bottom w:val="none" w:sz="0" w:space="0" w:color="auto"/>
            <w:right w:val="none" w:sz="0" w:space="0" w:color="auto"/>
          </w:divBdr>
        </w:div>
        <w:div w:id="636300023">
          <w:marLeft w:val="0"/>
          <w:marRight w:val="0"/>
          <w:marTop w:val="0"/>
          <w:marBottom w:val="0"/>
          <w:divBdr>
            <w:top w:val="none" w:sz="0" w:space="0" w:color="auto"/>
            <w:left w:val="none" w:sz="0" w:space="0" w:color="auto"/>
            <w:bottom w:val="none" w:sz="0" w:space="0" w:color="auto"/>
            <w:right w:val="none" w:sz="0" w:space="0" w:color="auto"/>
          </w:divBdr>
          <w:divsChild>
            <w:div w:id="628978827">
              <w:marLeft w:val="0"/>
              <w:marRight w:val="0"/>
              <w:marTop w:val="0"/>
              <w:marBottom w:val="0"/>
              <w:divBdr>
                <w:top w:val="none" w:sz="0" w:space="0" w:color="auto"/>
                <w:left w:val="none" w:sz="0" w:space="0" w:color="auto"/>
                <w:bottom w:val="none" w:sz="0" w:space="0" w:color="auto"/>
                <w:right w:val="none" w:sz="0" w:space="0" w:color="auto"/>
              </w:divBdr>
              <w:divsChild>
                <w:div w:id="1195576752">
                  <w:marLeft w:val="0"/>
                  <w:marRight w:val="0"/>
                  <w:marTop w:val="0"/>
                  <w:marBottom w:val="0"/>
                  <w:divBdr>
                    <w:top w:val="none" w:sz="0" w:space="0" w:color="auto"/>
                    <w:left w:val="none" w:sz="0" w:space="0" w:color="auto"/>
                    <w:bottom w:val="none" w:sz="0" w:space="0" w:color="auto"/>
                    <w:right w:val="none" w:sz="0" w:space="0" w:color="auto"/>
                  </w:divBdr>
                  <w:divsChild>
                    <w:div w:id="16098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39817">
      <w:bodyDiv w:val="1"/>
      <w:marLeft w:val="0"/>
      <w:marRight w:val="0"/>
      <w:marTop w:val="0"/>
      <w:marBottom w:val="0"/>
      <w:divBdr>
        <w:top w:val="none" w:sz="0" w:space="0" w:color="auto"/>
        <w:left w:val="none" w:sz="0" w:space="0" w:color="auto"/>
        <w:bottom w:val="none" w:sz="0" w:space="0" w:color="auto"/>
        <w:right w:val="none" w:sz="0" w:space="0" w:color="auto"/>
      </w:divBdr>
    </w:div>
    <w:div w:id="1781490266">
      <w:bodyDiv w:val="1"/>
      <w:marLeft w:val="0"/>
      <w:marRight w:val="0"/>
      <w:marTop w:val="0"/>
      <w:marBottom w:val="0"/>
      <w:divBdr>
        <w:top w:val="none" w:sz="0" w:space="0" w:color="auto"/>
        <w:left w:val="none" w:sz="0" w:space="0" w:color="auto"/>
        <w:bottom w:val="none" w:sz="0" w:space="0" w:color="auto"/>
        <w:right w:val="none" w:sz="0" w:space="0" w:color="auto"/>
      </w:divBdr>
      <w:divsChild>
        <w:div w:id="1573855045">
          <w:marLeft w:val="0"/>
          <w:marRight w:val="0"/>
          <w:marTop w:val="0"/>
          <w:marBottom w:val="0"/>
          <w:divBdr>
            <w:top w:val="none" w:sz="0" w:space="0" w:color="auto"/>
            <w:left w:val="none" w:sz="0" w:space="0" w:color="auto"/>
            <w:bottom w:val="none" w:sz="0" w:space="0" w:color="auto"/>
            <w:right w:val="none" w:sz="0" w:space="0" w:color="auto"/>
          </w:divBdr>
        </w:div>
        <w:div w:id="2143307657">
          <w:marLeft w:val="0"/>
          <w:marRight w:val="0"/>
          <w:marTop w:val="0"/>
          <w:marBottom w:val="0"/>
          <w:divBdr>
            <w:top w:val="none" w:sz="0" w:space="0" w:color="auto"/>
            <w:left w:val="none" w:sz="0" w:space="0" w:color="auto"/>
            <w:bottom w:val="none" w:sz="0" w:space="0" w:color="auto"/>
            <w:right w:val="none" w:sz="0" w:space="0" w:color="auto"/>
          </w:divBdr>
          <w:divsChild>
            <w:div w:id="1474910708">
              <w:marLeft w:val="0"/>
              <w:marRight w:val="0"/>
              <w:marTop w:val="0"/>
              <w:marBottom w:val="0"/>
              <w:divBdr>
                <w:top w:val="none" w:sz="0" w:space="0" w:color="auto"/>
                <w:left w:val="none" w:sz="0" w:space="0" w:color="auto"/>
                <w:bottom w:val="none" w:sz="0" w:space="0" w:color="auto"/>
                <w:right w:val="none" w:sz="0" w:space="0" w:color="auto"/>
              </w:divBdr>
              <w:divsChild>
                <w:div w:id="752051356">
                  <w:marLeft w:val="0"/>
                  <w:marRight w:val="0"/>
                  <w:marTop w:val="0"/>
                  <w:marBottom w:val="0"/>
                  <w:divBdr>
                    <w:top w:val="none" w:sz="0" w:space="0" w:color="auto"/>
                    <w:left w:val="none" w:sz="0" w:space="0" w:color="auto"/>
                    <w:bottom w:val="none" w:sz="0" w:space="0" w:color="auto"/>
                    <w:right w:val="none" w:sz="0" w:space="0" w:color="auto"/>
                  </w:divBdr>
                  <w:divsChild>
                    <w:div w:id="6602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0055">
      <w:bodyDiv w:val="1"/>
      <w:marLeft w:val="0"/>
      <w:marRight w:val="0"/>
      <w:marTop w:val="0"/>
      <w:marBottom w:val="0"/>
      <w:divBdr>
        <w:top w:val="none" w:sz="0" w:space="0" w:color="auto"/>
        <w:left w:val="none" w:sz="0" w:space="0" w:color="auto"/>
        <w:bottom w:val="none" w:sz="0" w:space="0" w:color="auto"/>
        <w:right w:val="none" w:sz="0" w:space="0" w:color="auto"/>
      </w:divBdr>
      <w:divsChild>
        <w:div w:id="130099285">
          <w:marLeft w:val="0"/>
          <w:marRight w:val="0"/>
          <w:marTop w:val="0"/>
          <w:marBottom w:val="0"/>
          <w:divBdr>
            <w:top w:val="none" w:sz="0" w:space="0" w:color="auto"/>
            <w:left w:val="none" w:sz="0" w:space="0" w:color="auto"/>
            <w:bottom w:val="none" w:sz="0" w:space="0" w:color="auto"/>
            <w:right w:val="none" w:sz="0" w:space="0" w:color="auto"/>
          </w:divBdr>
        </w:div>
        <w:div w:id="2079161396">
          <w:marLeft w:val="0"/>
          <w:marRight w:val="0"/>
          <w:marTop w:val="0"/>
          <w:marBottom w:val="0"/>
          <w:divBdr>
            <w:top w:val="none" w:sz="0" w:space="0" w:color="auto"/>
            <w:left w:val="none" w:sz="0" w:space="0" w:color="auto"/>
            <w:bottom w:val="none" w:sz="0" w:space="0" w:color="auto"/>
            <w:right w:val="none" w:sz="0" w:space="0" w:color="auto"/>
          </w:divBdr>
          <w:divsChild>
            <w:div w:id="662002938">
              <w:marLeft w:val="0"/>
              <w:marRight w:val="0"/>
              <w:marTop w:val="0"/>
              <w:marBottom w:val="0"/>
              <w:divBdr>
                <w:top w:val="none" w:sz="0" w:space="0" w:color="auto"/>
                <w:left w:val="none" w:sz="0" w:space="0" w:color="auto"/>
                <w:bottom w:val="none" w:sz="0" w:space="0" w:color="auto"/>
                <w:right w:val="none" w:sz="0" w:space="0" w:color="auto"/>
              </w:divBdr>
              <w:divsChild>
                <w:div w:id="601644953">
                  <w:marLeft w:val="0"/>
                  <w:marRight w:val="0"/>
                  <w:marTop w:val="0"/>
                  <w:marBottom w:val="0"/>
                  <w:divBdr>
                    <w:top w:val="none" w:sz="0" w:space="0" w:color="auto"/>
                    <w:left w:val="none" w:sz="0" w:space="0" w:color="auto"/>
                    <w:bottom w:val="none" w:sz="0" w:space="0" w:color="auto"/>
                    <w:right w:val="none" w:sz="0" w:space="0" w:color="auto"/>
                  </w:divBdr>
                  <w:divsChild>
                    <w:div w:id="1643997234">
                      <w:marLeft w:val="0"/>
                      <w:marRight w:val="0"/>
                      <w:marTop w:val="0"/>
                      <w:marBottom w:val="0"/>
                      <w:divBdr>
                        <w:top w:val="none" w:sz="0" w:space="0" w:color="auto"/>
                        <w:left w:val="none" w:sz="0" w:space="0" w:color="auto"/>
                        <w:bottom w:val="none" w:sz="0" w:space="0" w:color="auto"/>
                        <w:right w:val="none" w:sz="0" w:space="0" w:color="auto"/>
                      </w:divBdr>
                    </w:div>
                    <w:div w:id="19000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214883">
      <w:bodyDiv w:val="1"/>
      <w:marLeft w:val="0"/>
      <w:marRight w:val="0"/>
      <w:marTop w:val="0"/>
      <w:marBottom w:val="0"/>
      <w:divBdr>
        <w:top w:val="none" w:sz="0" w:space="0" w:color="auto"/>
        <w:left w:val="none" w:sz="0" w:space="0" w:color="auto"/>
        <w:bottom w:val="none" w:sz="0" w:space="0" w:color="auto"/>
        <w:right w:val="none" w:sz="0" w:space="0" w:color="auto"/>
      </w:divBdr>
      <w:divsChild>
        <w:div w:id="2144737903">
          <w:marLeft w:val="0"/>
          <w:marRight w:val="0"/>
          <w:marTop w:val="0"/>
          <w:marBottom w:val="0"/>
          <w:divBdr>
            <w:top w:val="none" w:sz="0" w:space="0" w:color="auto"/>
            <w:left w:val="none" w:sz="0" w:space="0" w:color="auto"/>
            <w:bottom w:val="none" w:sz="0" w:space="0" w:color="auto"/>
            <w:right w:val="none" w:sz="0" w:space="0" w:color="auto"/>
          </w:divBdr>
        </w:div>
        <w:div w:id="445002572">
          <w:marLeft w:val="0"/>
          <w:marRight w:val="0"/>
          <w:marTop w:val="0"/>
          <w:marBottom w:val="0"/>
          <w:divBdr>
            <w:top w:val="none" w:sz="0" w:space="0" w:color="auto"/>
            <w:left w:val="none" w:sz="0" w:space="0" w:color="auto"/>
            <w:bottom w:val="none" w:sz="0" w:space="0" w:color="auto"/>
            <w:right w:val="none" w:sz="0" w:space="0" w:color="auto"/>
          </w:divBdr>
          <w:divsChild>
            <w:div w:id="275841288">
              <w:marLeft w:val="0"/>
              <w:marRight w:val="0"/>
              <w:marTop w:val="0"/>
              <w:marBottom w:val="0"/>
              <w:divBdr>
                <w:top w:val="none" w:sz="0" w:space="0" w:color="auto"/>
                <w:left w:val="none" w:sz="0" w:space="0" w:color="auto"/>
                <w:bottom w:val="none" w:sz="0" w:space="0" w:color="auto"/>
                <w:right w:val="none" w:sz="0" w:space="0" w:color="auto"/>
              </w:divBdr>
              <w:divsChild>
                <w:div w:id="1100834857">
                  <w:marLeft w:val="0"/>
                  <w:marRight w:val="0"/>
                  <w:marTop w:val="0"/>
                  <w:marBottom w:val="0"/>
                  <w:divBdr>
                    <w:top w:val="none" w:sz="0" w:space="0" w:color="auto"/>
                    <w:left w:val="none" w:sz="0" w:space="0" w:color="auto"/>
                    <w:bottom w:val="none" w:sz="0" w:space="0" w:color="auto"/>
                    <w:right w:val="none" w:sz="0" w:space="0" w:color="auto"/>
                  </w:divBdr>
                  <w:divsChild>
                    <w:div w:id="622078052">
                      <w:marLeft w:val="0"/>
                      <w:marRight w:val="0"/>
                      <w:marTop w:val="0"/>
                      <w:marBottom w:val="0"/>
                      <w:divBdr>
                        <w:top w:val="none" w:sz="0" w:space="0" w:color="auto"/>
                        <w:left w:val="none" w:sz="0" w:space="0" w:color="auto"/>
                        <w:bottom w:val="none" w:sz="0" w:space="0" w:color="auto"/>
                        <w:right w:val="none" w:sz="0" w:space="0" w:color="auto"/>
                      </w:divBdr>
                    </w:div>
                    <w:div w:id="2229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99714">
      <w:bodyDiv w:val="1"/>
      <w:marLeft w:val="0"/>
      <w:marRight w:val="0"/>
      <w:marTop w:val="0"/>
      <w:marBottom w:val="0"/>
      <w:divBdr>
        <w:top w:val="none" w:sz="0" w:space="0" w:color="auto"/>
        <w:left w:val="none" w:sz="0" w:space="0" w:color="auto"/>
        <w:bottom w:val="none" w:sz="0" w:space="0" w:color="auto"/>
        <w:right w:val="none" w:sz="0" w:space="0" w:color="auto"/>
      </w:divBdr>
      <w:divsChild>
        <w:div w:id="1169171890">
          <w:marLeft w:val="0"/>
          <w:marRight w:val="0"/>
          <w:marTop w:val="0"/>
          <w:marBottom w:val="0"/>
          <w:divBdr>
            <w:top w:val="none" w:sz="0" w:space="0" w:color="auto"/>
            <w:left w:val="none" w:sz="0" w:space="0" w:color="auto"/>
            <w:bottom w:val="none" w:sz="0" w:space="0" w:color="auto"/>
            <w:right w:val="none" w:sz="0" w:space="0" w:color="auto"/>
          </w:divBdr>
        </w:div>
        <w:div w:id="1221134126">
          <w:marLeft w:val="0"/>
          <w:marRight w:val="0"/>
          <w:marTop w:val="0"/>
          <w:marBottom w:val="0"/>
          <w:divBdr>
            <w:top w:val="none" w:sz="0" w:space="0" w:color="auto"/>
            <w:left w:val="none" w:sz="0" w:space="0" w:color="auto"/>
            <w:bottom w:val="none" w:sz="0" w:space="0" w:color="auto"/>
            <w:right w:val="none" w:sz="0" w:space="0" w:color="auto"/>
          </w:divBdr>
          <w:divsChild>
            <w:div w:id="1740320653">
              <w:marLeft w:val="0"/>
              <w:marRight w:val="0"/>
              <w:marTop w:val="0"/>
              <w:marBottom w:val="0"/>
              <w:divBdr>
                <w:top w:val="none" w:sz="0" w:space="0" w:color="auto"/>
                <w:left w:val="none" w:sz="0" w:space="0" w:color="auto"/>
                <w:bottom w:val="none" w:sz="0" w:space="0" w:color="auto"/>
                <w:right w:val="none" w:sz="0" w:space="0" w:color="auto"/>
              </w:divBdr>
              <w:divsChild>
                <w:div w:id="1451972330">
                  <w:marLeft w:val="0"/>
                  <w:marRight w:val="0"/>
                  <w:marTop w:val="0"/>
                  <w:marBottom w:val="0"/>
                  <w:divBdr>
                    <w:top w:val="none" w:sz="0" w:space="0" w:color="auto"/>
                    <w:left w:val="none" w:sz="0" w:space="0" w:color="auto"/>
                    <w:bottom w:val="none" w:sz="0" w:space="0" w:color="auto"/>
                    <w:right w:val="none" w:sz="0" w:space="0" w:color="auto"/>
                  </w:divBdr>
                  <w:divsChild>
                    <w:div w:id="5767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bs-wohnung.de/elternbuergschaf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7967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ista International GmbH</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Zeuner, Sven</dc:creator>
  <cp:keywords/>
  <dc:description/>
  <cp:lastModifiedBy>Zeuner, Sven</cp:lastModifiedBy>
  <cp:revision>8</cp:revision>
  <cp:lastPrinted>2021-09-22T09:00:00Z</cp:lastPrinted>
  <dcterms:created xsi:type="dcterms:W3CDTF">2021-09-22T08:52:00Z</dcterms:created>
  <dcterms:modified xsi:type="dcterms:W3CDTF">2021-09-22T09:01:00Z</dcterms:modified>
</cp:coreProperties>
</file>